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428FAE34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2020CD">
        <w:rPr>
          <w:rFonts w:ascii="BNPP Sans Light" w:hAnsi="BNPP Sans Light"/>
          <w:lang w:val="cs-CZ"/>
        </w:rPr>
        <w:t>25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655273">
        <w:rPr>
          <w:rFonts w:ascii="BNPP Sans Light" w:hAnsi="BNPP Sans Light"/>
          <w:lang w:val="cs-CZ"/>
        </w:rPr>
        <w:t>listopadu</w:t>
      </w:r>
      <w:r w:rsidR="007B62EB">
        <w:rPr>
          <w:rFonts w:ascii="BNPP Sans Light" w:hAnsi="BNPP Sans Light"/>
          <w:lang w:val="cs-CZ"/>
        </w:rPr>
        <w:t xml:space="preserve"> </w:t>
      </w:r>
      <w:r w:rsidR="00067A48" w:rsidRPr="00067A48">
        <w:rPr>
          <w:rFonts w:ascii="BNPP Sans Light" w:hAnsi="BNPP Sans Light"/>
          <w:lang w:val="cs-CZ"/>
        </w:rPr>
        <w:t>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2C4A9D8A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98659FF" w14:textId="4D041136" w:rsidR="004840AC" w:rsidRPr="00D05E2E" w:rsidRDefault="002F5F7F" w:rsidP="004840AC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</w:t>
      </w:r>
      <w:proofErr w:type="spellStart"/>
      <w:r w:rsidRPr="002F5F7F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 Pojišťovny: </w:t>
      </w:r>
      <w:r w:rsidR="00652921">
        <w:rPr>
          <w:rFonts w:ascii="BNPP Sans Light" w:hAnsi="BNPP Sans Light"/>
          <w:b/>
          <w:sz w:val="32"/>
          <w:szCs w:val="32"/>
          <w:lang w:val="cs-CZ"/>
        </w:rPr>
        <w:t>Z</w:t>
      </w:r>
      <w:r w:rsidR="00B64126">
        <w:rPr>
          <w:rFonts w:ascii="BNPP Sans Light" w:hAnsi="BNPP Sans Light"/>
          <w:b/>
          <w:sz w:val="32"/>
          <w:szCs w:val="32"/>
          <w:lang w:val="cs-CZ"/>
        </w:rPr>
        <w:t xml:space="preserve">tráta zaměstnání </w:t>
      </w:r>
      <w:r w:rsidR="00EF1BB8">
        <w:rPr>
          <w:rFonts w:ascii="BNPP Sans Light" w:hAnsi="BNPP Sans Light"/>
          <w:b/>
          <w:sz w:val="32"/>
          <w:szCs w:val="32"/>
          <w:lang w:val="cs-CZ"/>
        </w:rPr>
        <w:t xml:space="preserve">vás </w:t>
      </w:r>
      <w:r w:rsidR="006B12D0">
        <w:rPr>
          <w:rFonts w:ascii="BNPP Sans Light" w:hAnsi="BNPP Sans Light"/>
          <w:b/>
          <w:sz w:val="32"/>
          <w:szCs w:val="32"/>
          <w:lang w:val="cs-CZ"/>
        </w:rPr>
        <w:t xml:space="preserve">může potkat nejen </w:t>
      </w:r>
      <w:r w:rsidR="00EF1BB8">
        <w:rPr>
          <w:rFonts w:ascii="BNPP Sans Light" w:hAnsi="BNPP Sans Light"/>
          <w:b/>
          <w:sz w:val="32"/>
          <w:szCs w:val="32"/>
          <w:lang w:val="cs-CZ"/>
        </w:rPr>
        <w:t>v</w:t>
      </w:r>
      <w:r w:rsidR="006B12D0">
        <w:rPr>
          <w:rFonts w:ascii="BNPP Sans Light" w:hAnsi="BNPP Sans Light"/>
          <w:b/>
          <w:sz w:val="32"/>
          <w:szCs w:val="32"/>
          <w:lang w:val="cs-CZ"/>
        </w:rPr>
        <w:t xml:space="preserve"> předdůchodové</w:t>
      </w:r>
      <w:r w:rsidR="00A61A99">
        <w:rPr>
          <w:rFonts w:ascii="BNPP Sans Light" w:hAnsi="BNPP Sans Light"/>
          <w:b/>
          <w:sz w:val="32"/>
          <w:szCs w:val="32"/>
          <w:lang w:val="cs-CZ"/>
        </w:rPr>
        <w:t>m</w:t>
      </w:r>
      <w:r w:rsidR="006B12D0">
        <w:rPr>
          <w:rFonts w:ascii="BNPP Sans Light" w:hAnsi="BNPP Sans Light"/>
          <w:b/>
          <w:sz w:val="32"/>
          <w:szCs w:val="32"/>
          <w:lang w:val="cs-CZ"/>
        </w:rPr>
        <w:t xml:space="preserve"> věku</w:t>
      </w:r>
    </w:p>
    <w:p w14:paraId="097FDBEE" w14:textId="32D7C504" w:rsidR="00D05E2E" w:rsidRDefault="00D05E2E" w:rsidP="00B64126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D05E2E">
        <w:rPr>
          <w:rFonts w:ascii="BNPP Sans Light" w:hAnsi="BNPP Sans Light"/>
          <w:b/>
          <w:bCs/>
          <w:szCs w:val="24"/>
          <w:lang w:val="cs-CZ"/>
        </w:rPr>
        <w:t xml:space="preserve">Rok 2024 </w:t>
      </w:r>
      <w:r w:rsidR="007E2232">
        <w:rPr>
          <w:rFonts w:ascii="BNPP Sans Light" w:hAnsi="BNPP Sans Light"/>
          <w:b/>
          <w:bCs/>
          <w:szCs w:val="24"/>
          <w:lang w:val="cs-CZ"/>
        </w:rPr>
        <w:t xml:space="preserve">už je téměř u konce, </w:t>
      </w:r>
      <w:r w:rsidR="00652921">
        <w:rPr>
          <w:rFonts w:ascii="BNPP Sans Light" w:hAnsi="BNPP Sans Light"/>
          <w:b/>
          <w:bCs/>
          <w:szCs w:val="24"/>
          <w:lang w:val="cs-CZ"/>
        </w:rPr>
        <w:t>pro pracovní trh</w:t>
      </w:r>
      <w:r w:rsidRPr="00D05E2E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7E2232">
        <w:rPr>
          <w:rFonts w:ascii="BNPP Sans Light" w:hAnsi="BNPP Sans Light"/>
          <w:b/>
          <w:bCs/>
          <w:szCs w:val="24"/>
          <w:lang w:val="cs-CZ"/>
        </w:rPr>
        <w:t xml:space="preserve">ale stihl přinést </w:t>
      </w:r>
      <w:r w:rsidRPr="00D05E2E">
        <w:rPr>
          <w:rFonts w:ascii="BNPP Sans Light" w:hAnsi="BNPP Sans Light"/>
          <w:b/>
          <w:bCs/>
          <w:szCs w:val="24"/>
          <w:lang w:val="cs-CZ"/>
        </w:rPr>
        <w:t xml:space="preserve">významné výzvy. Mnoho lidí se </w:t>
      </w:r>
      <w:r w:rsidR="007E2232">
        <w:rPr>
          <w:rFonts w:ascii="BNPP Sans Light" w:hAnsi="BNPP Sans Light"/>
          <w:b/>
          <w:bCs/>
          <w:szCs w:val="24"/>
          <w:lang w:val="cs-CZ"/>
        </w:rPr>
        <w:t xml:space="preserve">totiž </w:t>
      </w:r>
      <w:r w:rsidRPr="00D05E2E">
        <w:rPr>
          <w:rFonts w:ascii="BNPP Sans Light" w:hAnsi="BNPP Sans Light"/>
          <w:b/>
          <w:bCs/>
          <w:szCs w:val="24"/>
          <w:lang w:val="cs-CZ"/>
        </w:rPr>
        <w:t xml:space="preserve">ocitlo v situaci, kdy museli neplánovaně čelit ztrátě příjmu. </w:t>
      </w:r>
      <w:r w:rsidR="007E2232">
        <w:rPr>
          <w:rFonts w:ascii="BNPP Sans Light" w:hAnsi="BNPP Sans Light"/>
          <w:b/>
          <w:bCs/>
          <w:szCs w:val="24"/>
          <w:lang w:val="cs-CZ"/>
        </w:rPr>
        <w:t xml:space="preserve">Martin Pejsar </w:t>
      </w:r>
      <w:r w:rsidR="001D1477">
        <w:rPr>
          <w:rFonts w:ascii="BNPP Sans Light" w:hAnsi="BNPP Sans Light"/>
          <w:b/>
          <w:bCs/>
          <w:szCs w:val="24"/>
          <w:lang w:val="cs-CZ"/>
        </w:rPr>
        <w:t xml:space="preserve">dává </w:t>
      </w:r>
      <w:r w:rsidR="007E2232">
        <w:rPr>
          <w:rFonts w:ascii="BNPP Sans Light" w:hAnsi="BNPP Sans Light"/>
          <w:b/>
          <w:bCs/>
          <w:szCs w:val="24"/>
          <w:lang w:val="cs-CZ"/>
        </w:rPr>
        <w:t xml:space="preserve">události posledních měsíců do kontextu a zároveň radí, jak se před riziky výpadku financí chránit. </w:t>
      </w:r>
    </w:p>
    <w:p w14:paraId="379B1C65" w14:textId="4DBF4312" w:rsidR="00B64126" w:rsidRPr="00B64126" w:rsidRDefault="007E2232" w:rsidP="00B64126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V</w:t>
      </w:r>
      <w:r w:rsidR="00B64126" w:rsidRPr="00B64126">
        <w:rPr>
          <w:rFonts w:ascii="BNPP Sans Light" w:hAnsi="BNPP Sans Light"/>
          <w:szCs w:val="24"/>
          <w:lang w:val="cs-CZ"/>
        </w:rPr>
        <w:t xml:space="preserve"> letošním roce vidíme výrazný nárůst pojistných událostí ztráty zaměstnání i zrušení živnosti</w:t>
      </w:r>
      <w:r w:rsidR="001D1477">
        <w:rPr>
          <w:rFonts w:ascii="BNPP Sans Light" w:hAnsi="BNPP Sans Light"/>
          <w:szCs w:val="24"/>
          <w:lang w:val="cs-CZ"/>
        </w:rPr>
        <w:t>. O</w:t>
      </w:r>
      <w:r w:rsidR="00B64126" w:rsidRPr="00B64126">
        <w:rPr>
          <w:rFonts w:ascii="BNPP Sans Light" w:hAnsi="BNPP Sans Light"/>
          <w:szCs w:val="24"/>
          <w:lang w:val="cs-CZ"/>
        </w:rPr>
        <w:t xml:space="preserve">proti předchozímu roku 2023 </w:t>
      </w:r>
      <w:r w:rsidR="00537310">
        <w:rPr>
          <w:rFonts w:ascii="BNPP Sans Light" w:hAnsi="BNPP Sans Light"/>
          <w:szCs w:val="24"/>
          <w:lang w:val="cs-CZ"/>
        </w:rPr>
        <w:t xml:space="preserve">lze u </w:t>
      </w:r>
      <w:r w:rsidR="00B64126" w:rsidRPr="00B64126">
        <w:rPr>
          <w:rFonts w:ascii="BNPP Sans Light" w:hAnsi="BNPP Sans Light"/>
          <w:szCs w:val="24"/>
          <w:lang w:val="cs-CZ"/>
        </w:rPr>
        <w:t>ztrát</w:t>
      </w:r>
      <w:r w:rsidR="00537310">
        <w:rPr>
          <w:rFonts w:ascii="BNPP Sans Light" w:hAnsi="BNPP Sans Light"/>
          <w:szCs w:val="24"/>
          <w:lang w:val="cs-CZ"/>
        </w:rPr>
        <w:t>y</w:t>
      </w:r>
      <w:r w:rsidR="00B64126" w:rsidRPr="00B64126">
        <w:rPr>
          <w:rFonts w:ascii="BNPP Sans Light" w:hAnsi="BNPP Sans Light"/>
          <w:szCs w:val="24"/>
          <w:lang w:val="cs-CZ"/>
        </w:rPr>
        <w:t xml:space="preserve"> zaměstnání </w:t>
      </w:r>
      <w:r w:rsidR="001D1477">
        <w:rPr>
          <w:rFonts w:ascii="BNPP Sans Light" w:hAnsi="BNPP Sans Light"/>
          <w:szCs w:val="24"/>
          <w:lang w:val="cs-CZ"/>
        </w:rPr>
        <w:t xml:space="preserve">spatřit </w:t>
      </w:r>
      <w:r w:rsidR="00B64126" w:rsidRPr="00B64126">
        <w:rPr>
          <w:rFonts w:ascii="BNPP Sans Light" w:hAnsi="BNPP Sans Light"/>
          <w:szCs w:val="24"/>
          <w:lang w:val="cs-CZ"/>
        </w:rPr>
        <w:t xml:space="preserve">nárůst </w:t>
      </w:r>
      <w:r w:rsidR="001D1477">
        <w:rPr>
          <w:rFonts w:ascii="BNPP Sans Light" w:hAnsi="BNPP Sans Light"/>
          <w:szCs w:val="24"/>
          <w:lang w:val="cs-CZ"/>
        </w:rPr>
        <w:t xml:space="preserve">o </w:t>
      </w:r>
      <w:r w:rsidR="00B64126" w:rsidRPr="00B64126">
        <w:rPr>
          <w:rFonts w:ascii="BNPP Sans Light" w:hAnsi="BNPP Sans Light"/>
          <w:szCs w:val="24"/>
          <w:lang w:val="cs-CZ"/>
        </w:rPr>
        <w:t xml:space="preserve">20 % </w:t>
      </w:r>
      <w:r w:rsidR="00537310">
        <w:rPr>
          <w:rFonts w:ascii="BNPP Sans Light" w:hAnsi="BNPP Sans Light"/>
          <w:szCs w:val="24"/>
          <w:lang w:val="cs-CZ"/>
        </w:rPr>
        <w:t xml:space="preserve">a </w:t>
      </w:r>
      <w:r w:rsidR="00B64126" w:rsidRPr="00B64126">
        <w:rPr>
          <w:rFonts w:ascii="BNPP Sans Light" w:hAnsi="BNPP Sans Light"/>
          <w:szCs w:val="24"/>
          <w:lang w:val="cs-CZ"/>
        </w:rPr>
        <w:t xml:space="preserve">u živnostníků dokonce </w:t>
      </w:r>
      <w:r w:rsidR="001D1477">
        <w:rPr>
          <w:rFonts w:ascii="BNPP Sans Light" w:hAnsi="BNPP Sans Light"/>
          <w:szCs w:val="24"/>
          <w:lang w:val="cs-CZ"/>
        </w:rPr>
        <w:t xml:space="preserve">o </w:t>
      </w:r>
      <w:r w:rsidR="00B64126" w:rsidRPr="00B64126">
        <w:rPr>
          <w:rFonts w:ascii="BNPP Sans Light" w:hAnsi="BNPP Sans Light"/>
          <w:szCs w:val="24"/>
          <w:lang w:val="cs-CZ"/>
        </w:rPr>
        <w:t>50 %</w:t>
      </w:r>
      <w:r w:rsidR="00537310">
        <w:rPr>
          <w:rFonts w:ascii="BNPP Sans Light" w:hAnsi="BNPP Sans Light"/>
          <w:szCs w:val="24"/>
          <w:lang w:val="cs-CZ"/>
        </w:rPr>
        <w:t>. M</w:t>
      </w:r>
      <w:r w:rsidR="00B64126" w:rsidRPr="00B64126">
        <w:rPr>
          <w:rFonts w:ascii="BNPP Sans Light" w:hAnsi="BNPP Sans Light"/>
          <w:szCs w:val="24"/>
          <w:lang w:val="cs-CZ"/>
        </w:rPr>
        <w:t>ezi klienty, kteří nám letos hlásí ztrátu příjmu, lehce převažují muži, u živnostníků jsou</w:t>
      </w:r>
      <w:r w:rsidR="00537310">
        <w:rPr>
          <w:rFonts w:ascii="BNPP Sans Light" w:hAnsi="BNPP Sans Light"/>
          <w:szCs w:val="24"/>
          <w:lang w:val="cs-CZ"/>
        </w:rPr>
        <w:t xml:space="preserve"> pak</w:t>
      </w:r>
      <w:r w:rsidR="00B64126" w:rsidRPr="00B64126">
        <w:rPr>
          <w:rFonts w:ascii="BNPP Sans Light" w:hAnsi="BNPP Sans Light"/>
          <w:szCs w:val="24"/>
          <w:lang w:val="cs-CZ"/>
        </w:rPr>
        <w:t xml:space="preserve"> </w:t>
      </w:r>
      <w:r w:rsidR="001D1477">
        <w:rPr>
          <w:rFonts w:ascii="BNPP Sans Light" w:hAnsi="BNPP Sans Light"/>
          <w:szCs w:val="24"/>
          <w:lang w:val="cs-CZ"/>
        </w:rPr>
        <w:t>v</w:t>
      </w:r>
      <w:r w:rsidR="001D1477" w:rsidRPr="00B64126">
        <w:rPr>
          <w:rFonts w:ascii="BNPP Sans Light" w:hAnsi="BNPP Sans Light"/>
          <w:szCs w:val="24"/>
          <w:lang w:val="cs-CZ"/>
        </w:rPr>
        <w:t xml:space="preserve"> </w:t>
      </w:r>
      <w:r w:rsidR="00B64126" w:rsidRPr="00B64126">
        <w:rPr>
          <w:rFonts w:ascii="BNPP Sans Light" w:hAnsi="BNPP Sans Light"/>
          <w:szCs w:val="24"/>
          <w:lang w:val="cs-CZ"/>
        </w:rPr>
        <w:t>naprost</w:t>
      </w:r>
      <w:r w:rsidR="001D1477">
        <w:rPr>
          <w:rFonts w:ascii="BNPP Sans Light" w:hAnsi="BNPP Sans Light"/>
          <w:szCs w:val="24"/>
          <w:lang w:val="cs-CZ"/>
        </w:rPr>
        <w:t>é</w:t>
      </w:r>
      <w:r w:rsidR="00B64126" w:rsidRPr="00B64126">
        <w:rPr>
          <w:rFonts w:ascii="BNPP Sans Light" w:hAnsi="BNPP Sans Light"/>
          <w:szCs w:val="24"/>
          <w:lang w:val="cs-CZ"/>
        </w:rPr>
        <w:t xml:space="preserve"> většin</w:t>
      </w:r>
      <w:r w:rsidR="001D1477">
        <w:rPr>
          <w:rFonts w:ascii="BNPP Sans Light" w:hAnsi="BNPP Sans Light"/>
          <w:szCs w:val="24"/>
          <w:lang w:val="cs-CZ"/>
        </w:rPr>
        <w:t>ě</w:t>
      </w:r>
      <w:r w:rsidR="00537310">
        <w:rPr>
          <w:rFonts w:ascii="BNPP Sans Light" w:hAnsi="BNPP Sans Light"/>
          <w:szCs w:val="24"/>
          <w:lang w:val="cs-CZ"/>
        </w:rPr>
        <w:t>.</w:t>
      </w:r>
    </w:p>
    <w:p w14:paraId="10EF1607" w14:textId="0439A45B" w:rsidR="00D05E2E" w:rsidRPr="00D05E2E" w:rsidRDefault="009A2183" w:rsidP="00D05E2E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9A2183">
        <w:rPr>
          <w:rFonts w:ascii="BNPP Sans Light" w:hAnsi="BNPP Sans Light"/>
          <w:szCs w:val="24"/>
          <w:lang w:val="cs-CZ"/>
        </w:rPr>
        <w:t xml:space="preserve">Věkové zastoupení je </w:t>
      </w:r>
      <w:r>
        <w:rPr>
          <w:rFonts w:ascii="BNPP Sans Light" w:hAnsi="BNPP Sans Light"/>
          <w:szCs w:val="24"/>
          <w:lang w:val="cs-CZ"/>
        </w:rPr>
        <w:t>poměrně</w:t>
      </w:r>
      <w:r w:rsidRPr="009A2183">
        <w:rPr>
          <w:rFonts w:ascii="BNPP Sans Light" w:hAnsi="BNPP Sans Light"/>
          <w:szCs w:val="24"/>
          <w:lang w:val="cs-CZ"/>
        </w:rPr>
        <w:t xml:space="preserve"> rovnoměrné, nejméně je mladých </w:t>
      </w:r>
      <w:r>
        <w:rPr>
          <w:rFonts w:ascii="BNPP Sans Light" w:hAnsi="BNPP Sans Light"/>
          <w:szCs w:val="24"/>
          <w:lang w:val="cs-CZ"/>
        </w:rPr>
        <w:t xml:space="preserve">od </w:t>
      </w:r>
      <w:r w:rsidRPr="009A2183">
        <w:rPr>
          <w:rFonts w:ascii="BNPP Sans Light" w:hAnsi="BNPP Sans Light"/>
          <w:szCs w:val="24"/>
          <w:lang w:val="cs-CZ"/>
        </w:rPr>
        <w:t>19</w:t>
      </w:r>
      <w:r>
        <w:rPr>
          <w:rFonts w:ascii="BNPP Sans Light" w:hAnsi="BNPP Sans Light"/>
          <w:szCs w:val="24"/>
          <w:lang w:val="cs-CZ"/>
        </w:rPr>
        <w:t xml:space="preserve"> do </w:t>
      </w:r>
      <w:r w:rsidRPr="009A2183">
        <w:rPr>
          <w:rFonts w:ascii="BNPP Sans Light" w:hAnsi="BNPP Sans Light"/>
          <w:szCs w:val="24"/>
          <w:lang w:val="cs-CZ"/>
        </w:rPr>
        <w:t>25 let</w:t>
      </w:r>
      <w:r>
        <w:rPr>
          <w:rFonts w:ascii="BNPP Sans Light" w:hAnsi="BNPP Sans Light"/>
          <w:szCs w:val="24"/>
          <w:lang w:val="cs-CZ"/>
        </w:rPr>
        <w:t>. N</w:t>
      </w:r>
      <w:r w:rsidRPr="009A2183">
        <w:rPr>
          <w:rFonts w:ascii="BNPP Sans Light" w:hAnsi="BNPP Sans Light"/>
          <w:szCs w:val="24"/>
          <w:lang w:val="cs-CZ"/>
        </w:rPr>
        <w:t>ejvětší zastoupení</w:t>
      </w:r>
      <w:r>
        <w:rPr>
          <w:rFonts w:ascii="BNPP Sans Light" w:hAnsi="BNPP Sans Light"/>
          <w:szCs w:val="24"/>
          <w:lang w:val="cs-CZ"/>
        </w:rPr>
        <w:t>, celkem 28 %, registrujeme</w:t>
      </w:r>
      <w:r w:rsidRPr="009A2183">
        <w:rPr>
          <w:rFonts w:ascii="BNPP Sans Light" w:hAnsi="BNPP Sans Light"/>
          <w:szCs w:val="24"/>
          <w:lang w:val="cs-CZ"/>
        </w:rPr>
        <w:t xml:space="preserve"> ve věkové skupině </w:t>
      </w:r>
      <w:r>
        <w:rPr>
          <w:rFonts w:ascii="BNPP Sans Light" w:hAnsi="BNPP Sans Light"/>
          <w:szCs w:val="24"/>
          <w:lang w:val="cs-CZ"/>
        </w:rPr>
        <w:t xml:space="preserve">mezi </w:t>
      </w:r>
      <w:r w:rsidRPr="009A2183">
        <w:rPr>
          <w:rFonts w:ascii="BNPP Sans Light" w:hAnsi="BNPP Sans Light"/>
          <w:szCs w:val="24"/>
          <w:lang w:val="cs-CZ"/>
        </w:rPr>
        <w:t>45</w:t>
      </w:r>
      <w:r>
        <w:rPr>
          <w:rFonts w:ascii="BNPP Sans Light" w:hAnsi="BNPP Sans Light"/>
          <w:szCs w:val="24"/>
          <w:lang w:val="cs-CZ"/>
        </w:rPr>
        <w:t xml:space="preserve"> až </w:t>
      </w:r>
      <w:r w:rsidRPr="009A2183">
        <w:rPr>
          <w:rFonts w:ascii="BNPP Sans Light" w:hAnsi="BNPP Sans Light"/>
          <w:szCs w:val="24"/>
          <w:lang w:val="cs-CZ"/>
        </w:rPr>
        <w:t>54 let</w:t>
      </w:r>
      <w:r>
        <w:rPr>
          <w:rFonts w:ascii="BNPP Sans Light" w:hAnsi="BNPP Sans Light"/>
          <w:szCs w:val="24"/>
          <w:lang w:val="cs-CZ"/>
        </w:rPr>
        <w:t>y.</w:t>
      </w:r>
      <w:r w:rsidRPr="009A2183">
        <w:rPr>
          <w:rFonts w:ascii="BNPP Sans Light" w:hAnsi="BNPP Sans Light"/>
          <w:szCs w:val="24"/>
          <w:lang w:val="cs-CZ"/>
        </w:rPr>
        <w:t xml:space="preserve"> </w:t>
      </w:r>
      <w:r w:rsidR="00D05E2E" w:rsidRPr="00D05E2E">
        <w:rPr>
          <w:rFonts w:ascii="BNPP Sans Light" w:hAnsi="BNPP Sans Light"/>
          <w:szCs w:val="24"/>
          <w:lang w:val="cs-CZ"/>
        </w:rPr>
        <w:t xml:space="preserve">Je zajímavé, že </w:t>
      </w:r>
      <w:r w:rsidR="001D1477">
        <w:rPr>
          <w:rFonts w:ascii="BNPP Sans Light" w:hAnsi="BNPP Sans Light"/>
          <w:szCs w:val="24"/>
          <w:lang w:val="cs-CZ"/>
        </w:rPr>
        <w:t xml:space="preserve">druhou nejohroženější je </w:t>
      </w:r>
      <w:r w:rsidR="00D05E2E" w:rsidRPr="00D05E2E">
        <w:rPr>
          <w:rFonts w:ascii="BNPP Sans Light" w:hAnsi="BNPP Sans Light"/>
          <w:szCs w:val="24"/>
          <w:lang w:val="cs-CZ"/>
        </w:rPr>
        <w:t>mladší věková skupina</w:t>
      </w:r>
      <w:r>
        <w:rPr>
          <w:rFonts w:ascii="BNPP Sans Light" w:hAnsi="BNPP Sans Light"/>
          <w:szCs w:val="24"/>
          <w:lang w:val="cs-CZ"/>
        </w:rPr>
        <w:t xml:space="preserve">, </w:t>
      </w:r>
      <w:r w:rsidR="001D1477">
        <w:rPr>
          <w:rFonts w:ascii="BNPP Sans Light" w:hAnsi="BNPP Sans Light"/>
          <w:szCs w:val="24"/>
          <w:lang w:val="cs-CZ"/>
        </w:rPr>
        <w:t xml:space="preserve">tedy </w:t>
      </w:r>
      <w:r>
        <w:rPr>
          <w:rFonts w:ascii="BNPP Sans Light" w:hAnsi="BNPP Sans Light"/>
          <w:szCs w:val="24"/>
          <w:lang w:val="cs-CZ"/>
        </w:rPr>
        <w:t xml:space="preserve">lidé ve věku </w:t>
      </w:r>
      <w:r w:rsidR="00D05E2E" w:rsidRPr="00D05E2E">
        <w:rPr>
          <w:rFonts w:ascii="BNPP Sans Light" w:hAnsi="BNPP Sans Light"/>
          <w:szCs w:val="24"/>
          <w:lang w:val="cs-CZ"/>
        </w:rPr>
        <w:t>25</w:t>
      </w:r>
      <w:r>
        <w:rPr>
          <w:rFonts w:ascii="BNPP Sans Light" w:hAnsi="BNPP Sans Light"/>
          <w:szCs w:val="24"/>
          <w:lang w:val="cs-CZ"/>
        </w:rPr>
        <w:t xml:space="preserve"> až </w:t>
      </w:r>
      <w:r w:rsidR="00D05E2E" w:rsidRPr="00D05E2E">
        <w:rPr>
          <w:rFonts w:ascii="BNPP Sans Light" w:hAnsi="BNPP Sans Light"/>
          <w:szCs w:val="24"/>
          <w:lang w:val="cs-CZ"/>
        </w:rPr>
        <w:t>34 let</w:t>
      </w:r>
      <w:r>
        <w:rPr>
          <w:rFonts w:ascii="BNPP Sans Light" w:hAnsi="BNPP Sans Light"/>
          <w:szCs w:val="24"/>
          <w:lang w:val="cs-CZ"/>
        </w:rPr>
        <w:t xml:space="preserve">, </w:t>
      </w:r>
      <w:r w:rsidR="00D05E2E" w:rsidRPr="00D05E2E">
        <w:rPr>
          <w:rFonts w:ascii="BNPP Sans Light" w:hAnsi="BNPP Sans Light"/>
          <w:szCs w:val="24"/>
          <w:lang w:val="cs-CZ"/>
        </w:rPr>
        <w:t>což vyvrací běžný mýtus, že ztrát</w:t>
      </w:r>
      <w:r w:rsidR="001D1477">
        <w:rPr>
          <w:rFonts w:ascii="BNPP Sans Light" w:hAnsi="BNPP Sans Light"/>
          <w:szCs w:val="24"/>
          <w:lang w:val="cs-CZ"/>
        </w:rPr>
        <w:t>a</w:t>
      </w:r>
      <w:r w:rsidR="00D05E2E" w:rsidRPr="00D05E2E">
        <w:rPr>
          <w:rFonts w:ascii="BNPP Sans Light" w:hAnsi="BNPP Sans Light"/>
          <w:szCs w:val="24"/>
          <w:lang w:val="cs-CZ"/>
        </w:rPr>
        <w:t xml:space="preserve"> zaměstnání ohrož</w:t>
      </w:r>
      <w:r w:rsidR="001D1477">
        <w:rPr>
          <w:rFonts w:ascii="BNPP Sans Light" w:hAnsi="BNPP Sans Light"/>
          <w:szCs w:val="24"/>
          <w:lang w:val="cs-CZ"/>
        </w:rPr>
        <w:t>uje</w:t>
      </w:r>
      <w:r w:rsidR="00D05E2E" w:rsidRPr="00D05E2E">
        <w:rPr>
          <w:rFonts w:ascii="BNPP Sans Light" w:hAnsi="BNPP Sans Light"/>
          <w:szCs w:val="24"/>
          <w:lang w:val="cs-CZ"/>
        </w:rPr>
        <w:t xml:space="preserve"> </w:t>
      </w:r>
      <w:r w:rsidR="001D1477">
        <w:rPr>
          <w:rFonts w:ascii="BNPP Sans Light" w:hAnsi="BNPP Sans Light"/>
          <w:szCs w:val="24"/>
          <w:lang w:val="cs-CZ"/>
        </w:rPr>
        <w:t xml:space="preserve">především </w:t>
      </w:r>
      <w:r w:rsidR="00D05E2E" w:rsidRPr="00D05E2E">
        <w:rPr>
          <w:rFonts w:ascii="BNPP Sans Light" w:hAnsi="BNPP Sans Light"/>
          <w:szCs w:val="24"/>
          <w:lang w:val="cs-CZ"/>
        </w:rPr>
        <w:t>starší lid</w:t>
      </w:r>
      <w:r w:rsidR="001D1477">
        <w:rPr>
          <w:rFonts w:ascii="BNPP Sans Light" w:hAnsi="BNPP Sans Light"/>
          <w:szCs w:val="24"/>
          <w:lang w:val="cs-CZ"/>
        </w:rPr>
        <w:t>i</w:t>
      </w:r>
      <w:r w:rsidR="00D05E2E" w:rsidRPr="00D05E2E">
        <w:rPr>
          <w:rFonts w:ascii="BNPP Sans Light" w:hAnsi="BNPP Sans Light"/>
          <w:szCs w:val="24"/>
          <w:lang w:val="cs-CZ"/>
        </w:rPr>
        <w:t xml:space="preserve"> před důchodem. V</w:t>
      </w:r>
      <w:r w:rsidR="001D1477">
        <w:rPr>
          <w:rFonts w:ascii="BNPP Sans Light" w:hAnsi="BNPP Sans Light"/>
          <w:szCs w:val="24"/>
          <w:lang w:val="cs-CZ"/>
        </w:rPr>
        <w:t xml:space="preserve">e zmíněné </w:t>
      </w:r>
      <w:r w:rsidR="00D05E2E" w:rsidRPr="00D05E2E">
        <w:rPr>
          <w:rFonts w:ascii="BNPP Sans Light" w:hAnsi="BNPP Sans Light"/>
          <w:szCs w:val="24"/>
          <w:lang w:val="cs-CZ"/>
        </w:rPr>
        <w:t xml:space="preserve">mladší skupině je </w:t>
      </w:r>
      <w:r>
        <w:rPr>
          <w:rFonts w:ascii="BNPP Sans Light" w:hAnsi="BNPP Sans Light"/>
          <w:szCs w:val="24"/>
          <w:lang w:val="cs-CZ"/>
        </w:rPr>
        <w:t xml:space="preserve">také </w:t>
      </w:r>
      <w:r w:rsidR="00D05E2E" w:rsidRPr="00D05E2E">
        <w:rPr>
          <w:rFonts w:ascii="BNPP Sans Light" w:hAnsi="BNPP Sans Light"/>
          <w:szCs w:val="24"/>
          <w:lang w:val="cs-CZ"/>
        </w:rPr>
        <w:t>výraznější zastoupení mužů, zatímco ženy v tomto věku často využívají rodičovské dovolené a nejsou tak přímo ohroženy ztrátou příjmu.</w:t>
      </w:r>
    </w:p>
    <w:p w14:paraId="484E9686" w14:textId="75B46E64" w:rsidR="009A2183" w:rsidRPr="00B64126" w:rsidRDefault="009A2183" w:rsidP="009A2183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C</w:t>
      </w:r>
      <w:r w:rsidRPr="00B64126">
        <w:rPr>
          <w:rFonts w:ascii="BNPP Sans Light" w:hAnsi="BNPP Sans Light"/>
          <w:szCs w:val="24"/>
          <w:lang w:val="cs-CZ"/>
        </w:rPr>
        <w:t>o se týká regionu, jednoznačně převažují klienti ze Severní Moravy</w:t>
      </w:r>
      <w:r>
        <w:rPr>
          <w:rFonts w:ascii="BNPP Sans Light" w:hAnsi="BNPP Sans Light"/>
          <w:szCs w:val="24"/>
          <w:lang w:val="cs-CZ"/>
        </w:rPr>
        <w:t xml:space="preserve">, odkud </w:t>
      </w:r>
      <w:r w:rsidR="001D1477">
        <w:rPr>
          <w:rFonts w:ascii="BNPP Sans Light" w:hAnsi="BNPP Sans Light"/>
          <w:szCs w:val="24"/>
          <w:lang w:val="cs-CZ"/>
        </w:rPr>
        <w:t xml:space="preserve">pochází </w:t>
      </w:r>
      <w:r w:rsidRPr="00B64126">
        <w:rPr>
          <w:rFonts w:ascii="BNPP Sans Light" w:hAnsi="BNPP Sans Light"/>
          <w:szCs w:val="24"/>
          <w:lang w:val="cs-CZ"/>
        </w:rPr>
        <w:t>30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B64126">
        <w:rPr>
          <w:rFonts w:ascii="BNPP Sans Light" w:hAnsi="BNPP Sans Light"/>
          <w:szCs w:val="24"/>
          <w:lang w:val="cs-CZ"/>
        </w:rPr>
        <w:t xml:space="preserve">% </w:t>
      </w:r>
      <w:r w:rsidR="001D1477">
        <w:rPr>
          <w:rFonts w:ascii="BNPP Sans Light" w:hAnsi="BNPP Sans Light"/>
          <w:szCs w:val="24"/>
          <w:lang w:val="cs-CZ"/>
        </w:rPr>
        <w:t xml:space="preserve">ze </w:t>
      </w:r>
      <w:r w:rsidRPr="00B64126">
        <w:rPr>
          <w:rFonts w:ascii="BNPP Sans Light" w:hAnsi="BNPP Sans Light"/>
          <w:szCs w:val="24"/>
          <w:lang w:val="cs-CZ"/>
        </w:rPr>
        <w:t xml:space="preserve">všech, kteří nám letos nahlásili ztrátu příjmu. Ostatní </w:t>
      </w:r>
      <w:r w:rsidR="00C35D53">
        <w:rPr>
          <w:rFonts w:ascii="BNPP Sans Light" w:hAnsi="BNPP Sans Light"/>
          <w:szCs w:val="24"/>
          <w:lang w:val="cs-CZ"/>
        </w:rPr>
        <w:t>regiony</w:t>
      </w:r>
      <w:r w:rsidR="00C35D53" w:rsidRPr="00B64126">
        <w:rPr>
          <w:rFonts w:ascii="BNPP Sans Light" w:hAnsi="BNPP Sans Light"/>
          <w:szCs w:val="24"/>
          <w:lang w:val="cs-CZ"/>
        </w:rPr>
        <w:t xml:space="preserve"> </w:t>
      </w:r>
      <w:r w:rsidRPr="00B64126">
        <w:rPr>
          <w:rFonts w:ascii="BNPP Sans Light" w:hAnsi="BNPP Sans Light"/>
          <w:szCs w:val="24"/>
          <w:lang w:val="cs-CZ"/>
        </w:rPr>
        <w:t xml:space="preserve">jsou </w:t>
      </w:r>
      <w:r w:rsidR="00C35D53">
        <w:rPr>
          <w:rFonts w:ascii="BNPP Sans Light" w:hAnsi="BNPP Sans Light"/>
          <w:szCs w:val="24"/>
          <w:lang w:val="cs-CZ"/>
        </w:rPr>
        <w:t xml:space="preserve">pak </w:t>
      </w:r>
      <w:r w:rsidRPr="00B64126">
        <w:rPr>
          <w:rFonts w:ascii="BNPP Sans Light" w:hAnsi="BNPP Sans Light"/>
          <w:szCs w:val="24"/>
          <w:lang w:val="cs-CZ"/>
        </w:rPr>
        <w:t>zastoupeny rovnoměrně</w:t>
      </w:r>
      <w:r w:rsidR="001D1477">
        <w:rPr>
          <w:rFonts w:ascii="BNPP Sans Light" w:hAnsi="BNPP Sans Light"/>
          <w:szCs w:val="24"/>
          <w:lang w:val="cs-CZ"/>
        </w:rPr>
        <w:t xml:space="preserve">, nejnižší </w:t>
      </w:r>
      <w:r>
        <w:rPr>
          <w:rFonts w:ascii="BNPP Sans Light" w:hAnsi="BNPP Sans Light"/>
          <w:szCs w:val="24"/>
          <w:lang w:val="cs-CZ"/>
        </w:rPr>
        <w:t xml:space="preserve">hodnotu </w:t>
      </w:r>
      <w:r w:rsidR="001D1477">
        <w:rPr>
          <w:rFonts w:ascii="BNPP Sans Light" w:hAnsi="BNPP Sans Light"/>
          <w:szCs w:val="24"/>
          <w:lang w:val="cs-CZ"/>
        </w:rPr>
        <w:t xml:space="preserve">ovšem </w:t>
      </w:r>
      <w:r>
        <w:rPr>
          <w:rFonts w:ascii="BNPP Sans Light" w:hAnsi="BNPP Sans Light"/>
          <w:szCs w:val="24"/>
          <w:lang w:val="cs-CZ"/>
        </w:rPr>
        <w:t xml:space="preserve">vykazuje hlavní město </w:t>
      </w:r>
      <w:r w:rsidRPr="00B64126">
        <w:rPr>
          <w:rFonts w:ascii="BNPP Sans Light" w:hAnsi="BNPP Sans Light"/>
          <w:szCs w:val="24"/>
          <w:lang w:val="cs-CZ"/>
        </w:rPr>
        <w:t>Praha</w:t>
      </w:r>
      <w:r>
        <w:rPr>
          <w:rFonts w:ascii="BNPP Sans Light" w:hAnsi="BNPP Sans Light"/>
          <w:szCs w:val="24"/>
          <w:lang w:val="cs-CZ"/>
        </w:rPr>
        <w:t>, kde u nás řeší ztrátu příjmu asi</w:t>
      </w:r>
      <w:r w:rsidRPr="00B64126">
        <w:rPr>
          <w:rFonts w:ascii="BNPP Sans Light" w:hAnsi="BNPP Sans Light"/>
          <w:szCs w:val="24"/>
          <w:lang w:val="cs-CZ"/>
        </w:rPr>
        <w:t xml:space="preserve"> 7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B64126">
        <w:rPr>
          <w:rFonts w:ascii="BNPP Sans Light" w:hAnsi="BNPP Sans Light"/>
          <w:szCs w:val="24"/>
          <w:lang w:val="cs-CZ"/>
        </w:rPr>
        <w:t>%</w:t>
      </w:r>
      <w:r w:rsidR="00A61A99">
        <w:rPr>
          <w:rFonts w:ascii="BNPP Sans Light" w:hAnsi="BNPP Sans Light"/>
          <w:szCs w:val="24"/>
          <w:lang w:val="cs-CZ"/>
        </w:rPr>
        <w:t xml:space="preserve"> klientů</w:t>
      </w:r>
      <w:r w:rsidRPr="00B64126">
        <w:rPr>
          <w:rFonts w:ascii="BNPP Sans Light" w:hAnsi="BNPP Sans Light"/>
          <w:szCs w:val="24"/>
          <w:lang w:val="cs-CZ"/>
        </w:rPr>
        <w:t xml:space="preserve">.  </w:t>
      </w:r>
    </w:p>
    <w:p w14:paraId="49795FF8" w14:textId="56FE098C" w:rsidR="00D05E2E" w:rsidRPr="00D05E2E" w:rsidRDefault="00537310" w:rsidP="00D05E2E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Nejčastěji</w:t>
      </w:r>
      <w:r w:rsidR="007E2232">
        <w:rPr>
          <w:rFonts w:ascii="BNPP Sans Light" w:hAnsi="BNPP Sans Light"/>
          <w:szCs w:val="24"/>
          <w:lang w:val="cs-CZ"/>
        </w:rPr>
        <w:t xml:space="preserve"> </w:t>
      </w:r>
      <w:r w:rsidR="00D05E2E" w:rsidRPr="00D05E2E">
        <w:rPr>
          <w:rFonts w:ascii="BNPP Sans Light" w:hAnsi="BNPP Sans Light"/>
          <w:szCs w:val="24"/>
          <w:lang w:val="cs-CZ"/>
        </w:rPr>
        <w:t xml:space="preserve">ztráta zaměstnání </w:t>
      </w:r>
      <w:r w:rsidR="001D1477">
        <w:rPr>
          <w:rFonts w:ascii="BNPP Sans Light" w:hAnsi="BNPP Sans Light"/>
          <w:szCs w:val="24"/>
          <w:lang w:val="cs-CZ"/>
        </w:rPr>
        <w:t xml:space="preserve">postihovala </w:t>
      </w:r>
      <w:r w:rsidR="007E2232">
        <w:rPr>
          <w:rFonts w:ascii="BNPP Sans Light" w:hAnsi="BNPP Sans Light"/>
          <w:szCs w:val="24"/>
          <w:lang w:val="cs-CZ"/>
        </w:rPr>
        <w:t>klienty z</w:t>
      </w:r>
      <w:r>
        <w:rPr>
          <w:rFonts w:ascii="BNPP Sans Light" w:hAnsi="BNPP Sans Light"/>
          <w:szCs w:val="24"/>
          <w:lang w:val="cs-CZ"/>
        </w:rPr>
        <w:t xml:space="preserve">e sektoru služeb a logistiky, bankovnictví, těžkého průmyslu, ale i dopravy a automobilového průmyslu nebo maloobchodu. </w:t>
      </w:r>
      <w:r w:rsidR="00D05E2E" w:rsidRPr="00D05E2E">
        <w:rPr>
          <w:rFonts w:ascii="BNPP Sans Light" w:hAnsi="BNPP Sans Light"/>
          <w:szCs w:val="24"/>
          <w:lang w:val="cs-CZ"/>
        </w:rPr>
        <w:t>Hlavní</w:t>
      </w:r>
      <w:r w:rsidR="001D1477">
        <w:rPr>
          <w:rFonts w:ascii="BNPP Sans Light" w:hAnsi="BNPP Sans Light"/>
          <w:szCs w:val="24"/>
          <w:lang w:val="cs-CZ"/>
        </w:rPr>
        <w:t>mi</w:t>
      </w:r>
      <w:r w:rsidR="00D05E2E" w:rsidRPr="00D05E2E">
        <w:rPr>
          <w:rFonts w:ascii="BNPP Sans Light" w:hAnsi="BNPP Sans Light"/>
          <w:szCs w:val="24"/>
          <w:lang w:val="cs-CZ"/>
        </w:rPr>
        <w:t xml:space="preserve"> důvody</w:t>
      </w:r>
      <w:r w:rsidR="005677D8">
        <w:rPr>
          <w:rFonts w:ascii="BNPP Sans Light" w:hAnsi="BNPP Sans Light"/>
          <w:szCs w:val="24"/>
          <w:lang w:val="cs-CZ"/>
        </w:rPr>
        <w:t xml:space="preserve"> k</w:t>
      </w:r>
      <w:r w:rsidR="00D05E2E" w:rsidRPr="00D05E2E">
        <w:rPr>
          <w:rFonts w:ascii="BNPP Sans Light" w:hAnsi="BNPP Sans Light"/>
          <w:szCs w:val="24"/>
          <w:lang w:val="cs-CZ"/>
        </w:rPr>
        <w:t xml:space="preserve"> ukončení pracovního poměru v těchto oborech</w:t>
      </w:r>
      <w:r w:rsidR="00A61A99">
        <w:rPr>
          <w:rFonts w:ascii="BNPP Sans Light" w:hAnsi="BNPP Sans Light"/>
          <w:szCs w:val="24"/>
          <w:lang w:val="cs-CZ"/>
        </w:rPr>
        <w:t xml:space="preserve"> </w:t>
      </w:r>
      <w:r w:rsidR="00D05E2E" w:rsidRPr="00D05E2E">
        <w:rPr>
          <w:rFonts w:ascii="BNPP Sans Light" w:hAnsi="BNPP Sans Light"/>
          <w:szCs w:val="24"/>
          <w:lang w:val="cs-CZ"/>
        </w:rPr>
        <w:t xml:space="preserve">byly </w:t>
      </w:r>
      <w:r w:rsidR="005677D8">
        <w:rPr>
          <w:rFonts w:ascii="BNPP Sans Light" w:hAnsi="BNPP Sans Light"/>
          <w:szCs w:val="24"/>
          <w:lang w:val="cs-CZ"/>
        </w:rPr>
        <w:t xml:space="preserve">podle hlášení našich klientů </w:t>
      </w:r>
      <w:r w:rsidR="00D05E2E" w:rsidRPr="00D05E2E">
        <w:rPr>
          <w:rFonts w:ascii="BNPP Sans Light" w:hAnsi="BNPP Sans Light"/>
          <w:szCs w:val="24"/>
          <w:lang w:val="cs-CZ"/>
        </w:rPr>
        <w:t>nadbytečnost a zdravotní důvody</w:t>
      </w:r>
      <w:r>
        <w:rPr>
          <w:rFonts w:ascii="BNPP Sans Light" w:hAnsi="BNPP Sans Light"/>
          <w:szCs w:val="24"/>
          <w:lang w:val="cs-CZ"/>
        </w:rPr>
        <w:t xml:space="preserve"> zaměstnanců</w:t>
      </w:r>
      <w:r w:rsidR="00D05E2E" w:rsidRPr="00D05E2E">
        <w:rPr>
          <w:rFonts w:ascii="BNPP Sans Light" w:hAnsi="BNPP Sans Light"/>
          <w:szCs w:val="24"/>
          <w:lang w:val="cs-CZ"/>
        </w:rPr>
        <w:t>.</w:t>
      </w:r>
      <w:r w:rsidR="005677D8">
        <w:rPr>
          <w:rFonts w:ascii="BNPP Sans Light" w:hAnsi="BNPP Sans Light"/>
          <w:szCs w:val="24"/>
          <w:lang w:val="cs-CZ"/>
        </w:rPr>
        <w:t xml:space="preserve"> </w:t>
      </w:r>
    </w:p>
    <w:p w14:paraId="506386A2" w14:textId="77777777" w:rsidR="00D05E2E" w:rsidRPr="00D05E2E" w:rsidRDefault="00D05E2E" w:rsidP="00D05E2E">
      <w:pPr>
        <w:spacing w:before="240"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D05E2E">
        <w:rPr>
          <w:rFonts w:ascii="BNPP Sans Light" w:hAnsi="BNPP Sans Light"/>
          <w:b/>
          <w:bCs/>
          <w:szCs w:val="24"/>
          <w:lang w:val="cs-CZ"/>
        </w:rPr>
        <w:t>Jak se na podobné situace připravit?</w:t>
      </w:r>
    </w:p>
    <w:p w14:paraId="0CCF49F8" w14:textId="50C1D6E1" w:rsidR="00D05E2E" w:rsidRPr="00D05E2E" w:rsidRDefault="00D05E2E" w:rsidP="00D05E2E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 w:rsidRPr="00D05E2E">
        <w:rPr>
          <w:rFonts w:ascii="BNPP Sans Light" w:hAnsi="BNPP Sans Light"/>
          <w:szCs w:val="24"/>
          <w:lang w:val="cs-CZ"/>
        </w:rPr>
        <w:t>Ztráta zaměstnání může znamenat nejen okamžitý výpadek příjmů, ale také dlouhodobé finanční komplikace. Právě proto je důležité zvážit kroky</w:t>
      </w:r>
      <w:r w:rsidR="00652921">
        <w:rPr>
          <w:rFonts w:ascii="BNPP Sans Light" w:hAnsi="BNPP Sans Light"/>
          <w:szCs w:val="24"/>
          <w:lang w:val="cs-CZ"/>
        </w:rPr>
        <w:t xml:space="preserve">, které vám v případě, že </w:t>
      </w:r>
      <w:r w:rsidR="001D1477">
        <w:rPr>
          <w:rFonts w:ascii="BNPP Sans Light" w:hAnsi="BNPP Sans Light"/>
          <w:szCs w:val="24"/>
          <w:lang w:val="cs-CZ"/>
        </w:rPr>
        <w:t xml:space="preserve">přijdete o </w:t>
      </w:r>
      <w:r w:rsidR="00652921">
        <w:rPr>
          <w:rFonts w:ascii="BNPP Sans Light" w:hAnsi="BNPP Sans Light"/>
          <w:szCs w:val="24"/>
          <w:lang w:val="cs-CZ"/>
        </w:rPr>
        <w:t>práci i příjem, mohou ulehčit</w:t>
      </w:r>
      <w:r w:rsidR="001D1477" w:rsidRPr="001D1477">
        <w:rPr>
          <w:rFonts w:ascii="BNPP Sans Light" w:hAnsi="BNPP Sans Light"/>
          <w:szCs w:val="24"/>
          <w:lang w:val="cs-CZ"/>
        </w:rPr>
        <w:t xml:space="preserve"> </w:t>
      </w:r>
      <w:r w:rsidR="001D1477">
        <w:rPr>
          <w:rFonts w:ascii="BNPP Sans Light" w:hAnsi="BNPP Sans Light"/>
          <w:szCs w:val="24"/>
          <w:lang w:val="cs-CZ"/>
        </w:rPr>
        <w:t>situaci</w:t>
      </w:r>
      <w:r w:rsidR="00652921">
        <w:rPr>
          <w:rFonts w:ascii="BNPP Sans Light" w:hAnsi="BNPP Sans Light"/>
          <w:szCs w:val="24"/>
          <w:lang w:val="cs-CZ"/>
        </w:rPr>
        <w:t xml:space="preserve">. </w:t>
      </w:r>
    </w:p>
    <w:p w14:paraId="247058A5" w14:textId="365A850F" w:rsidR="00D05E2E" w:rsidRPr="00D05E2E" w:rsidRDefault="00537310" w:rsidP="00D05E2E">
      <w:pPr>
        <w:spacing w:before="240"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Nejprve doporučujeme v</w:t>
      </w:r>
      <w:r w:rsidR="00D05E2E" w:rsidRPr="00D05E2E">
        <w:rPr>
          <w:rFonts w:ascii="BNPP Sans Light" w:hAnsi="BNPP Sans Light"/>
          <w:szCs w:val="24"/>
          <w:lang w:val="cs-CZ"/>
        </w:rPr>
        <w:t>ytvoř</w:t>
      </w:r>
      <w:r>
        <w:rPr>
          <w:rFonts w:ascii="BNPP Sans Light" w:hAnsi="BNPP Sans Light"/>
          <w:szCs w:val="24"/>
          <w:lang w:val="cs-CZ"/>
        </w:rPr>
        <w:t>it</w:t>
      </w:r>
      <w:r w:rsidR="00D05E2E" w:rsidRPr="00D05E2E">
        <w:rPr>
          <w:rFonts w:ascii="BNPP Sans Light" w:hAnsi="BNPP Sans Light"/>
          <w:szCs w:val="24"/>
          <w:lang w:val="cs-CZ"/>
        </w:rPr>
        <w:t xml:space="preserve"> </w:t>
      </w:r>
      <w:r w:rsidR="00A61A99">
        <w:rPr>
          <w:rFonts w:ascii="BNPP Sans Light" w:hAnsi="BNPP Sans Light"/>
          <w:szCs w:val="24"/>
          <w:lang w:val="cs-CZ"/>
        </w:rPr>
        <w:t xml:space="preserve">si </w:t>
      </w:r>
      <w:r w:rsidR="00D05E2E" w:rsidRPr="00D05E2E">
        <w:rPr>
          <w:rFonts w:ascii="BNPP Sans Light" w:hAnsi="BNPP Sans Light"/>
          <w:szCs w:val="24"/>
          <w:lang w:val="cs-CZ"/>
        </w:rPr>
        <w:t>finanční rezervu</w:t>
      </w:r>
      <w:r>
        <w:rPr>
          <w:rFonts w:ascii="BNPP Sans Light" w:hAnsi="BNPP Sans Light"/>
          <w:szCs w:val="24"/>
          <w:lang w:val="cs-CZ"/>
        </w:rPr>
        <w:t xml:space="preserve">, ideální je </w:t>
      </w:r>
      <w:r w:rsidR="00D05E2E" w:rsidRPr="00D05E2E">
        <w:rPr>
          <w:rFonts w:ascii="BNPP Sans Light" w:hAnsi="BNPP Sans Light"/>
          <w:szCs w:val="24"/>
          <w:lang w:val="cs-CZ"/>
        </w:rPr>
        <w:t>mít stranou alespoň 3</w:t>
      </w:r>
      <w:r w:rsidR="00454640">
        <w:rPr>
          <w:rFonts w:ascii="BNPP Sans Light" w:hAnsi="BNPP Sans Light"/>
          <w:szCs w:val="24"/>
          <w:lang w:val="cs-CZ"/>
        </w:rPr>
        <w:t xml:space="preserve"> až </w:t>
      </w:r>
      <w:proofErr w:type="gramStart"/>
      <w:r w:rsidR="00EF1BB8" w:rsidRPr="00D05E2E">
        <w:rPr>
          <w:rFonts w:ascii="BNPP Sans Light" w:hAnsi="BNPP Sans Light"/>
          <w:szCs w:val="24"/>
          <w:lang w:val="cs-CZ"/>
        </w:rPr>
        <w:t>6</w:t>
      </w:r>
      <w:r w:rsidR="00A61A99">
        <w:rPr>
          <w:rFonts w:ascii="BNPP Sans Light" w:hAnsi="BNPP Sans Light"/>
          <w:szCs w:val="24"/>
          <w:lang w:val="cs-CZ"/>
        </w:rPr>
        <w:t xml:space="preserve"> </w:t>
      </w:r>
      <w:r w:rsidR="00EF1BB8">
        <w:rPr>
          <w:rFonts w:ascii="BNPP Sans Light" w:hAnsi="BNPP Sans Light"/>
          <w:szCs w:val="24"/>
          <w:lang w:val="cs-CZ"/>
        </w:rPr>
        <w:t>měsíčních</w:t>
      </w:r>
      <w:proofErr w:type="gramEnd"/>
      <w:r w:rsidR="00D05E2E" w:rsidRPr="00D05E2E">
        <w:rPr>
          <w:rFonts w:ascii="BNPP Sans Light" w:hAnsi="BNPP Sans Light"/>
          <w:szCs w:val="24"/>
          <w:lang w:val="cs-CZ"/>
        </w:rPr>
        <w:t xml:space="preserve"> platů.</w:t>
      </w:r>
      <w:r w:rsidR="009A2183">
        <w:rPr>
          <w:rFonts w:ascii="BNPP Sans Light" w:hAnsi="BNPP Sans Light"/>
          <w:szCs w:val="24"/>
          <w:lang w:val="cs-CZ"/>
        </w:rPr>
        <w:t xml:space="preserve"> Dále je na místě zvážit</w:t>
      </w:r>
      <w:r w:rsidR="00D05E2E" w:rsidRPr="00D05E2E">
        <w:rPr>
          <w:rFonts w:ascii="BNPP Sans Light" w:hAnsi="BNPP Sans Light"/>
          <w:szCs w:val="24"/>
          <w:lang w:val="cs-CZ"/>
        </w:rPr>
        <w:t xml:space="preserve"> pojištění</w:t>
      </w:r>
      <w:r w:rsidR="001D1477">
        <w:rPr>
          <w:rFonts w:ascii="BNPP Sans Light" w:hAnsi="BNPP Sans Light"/>
          <w:szCs w:val="24"/>
          <w:lang w:val="cs-CZ"/>
        </w:rPr>
        <w:t xml:space="preserve"> – </w:t>
      </w:r>
      <w:r w:rsidR="005E0700">
        <w:rPr>
          <w:rFonts w:ascii="BNPP Sans Light" w:hAnsi="BNPP Sans Light"/>
          <w:szCs w:val="24"/>
          <w:lang w:val="cs-CZ"/>
        </w:rPr>
        <w:t xml:space="preserve">pokud máte finanční závazky, pak ideálně </w:t>
      </w:r>
      <w:r w:rsidR="009A2183">
        <w:rPr>
          <w:rFonts w:ascii="BNPP Sans Light" w:hAnsi="BNPP Sans Light"/>
          <w:szCs w:val="24"/>
          <w:lang w:val="cs-CZ"/>
        </w:rPr>
        <w:t>pojištění schopnosti splácet. Díky němu vám pojišťovna v případě výpadku příjmu pomáhá se splácení</w:t>
      </w:r>
      <w:r w:rsidR="001D1477">
        <w:rPr>
          <w:rFonts w:ascii="BNPP Sans Light" w:hAnsi="BNPP Sans Light"/>
          <w:szCs w:val="24"/>
          <w:lang w:val="cs-CZ"/>
        </w:rPr>
        <w:t>m</w:t>
      </w:r>
      <w:r w:rsidR="009A2183">
        <w:rPr>
          <w:rFonts w:ascii="BNPP Sans Light" w:hAnsi="BNPP Sans Light"/>
          <w:szCs w:val="24"/>
          <w:lang w:val="cs-CZ"/>
        </w:rPr>
        <w:t xml:space="preserve"> půjčky nebo například hypotéky.</w:t>
      </w:r>
      <w:r w:rsidR="00D05E2E" w:rsidRPr="00D05E2E">
        <w:rPr>
          <w:rFonts w:ascii="BNPP Sans Light" w:hAnsi="BNPP Sans Light"/>
          <w:szCs w:val="24"/>
          <w:lang w:val="cs-CZ"/>
        </w:rPr>
        <w:t xml:space="preserve"> </w:t>
      </w:r>
    </w:p>
    <w:p w14:paraId="400F9F4E" w14:textId="77777777" w:rsidR="009A2183" w:rsidRDefault="009A2183" w:rsidP="00067F58">
      <w:pPr>
        <w:autoSpaceDE w:val="0"/>
        <w:autoSpaceDN w:val="0"/>
        <w:adjustRightInd w:val="0"/>
        <w:spacing w:line="276" w:lineRule="auto"/>
        <w:ind w:left="2124"/>
        <w:jc w:val="right"/>
        <w:rPr>
          <w:rFonts w:ascii="BNPP Sans Light" w:hAnsi="BNPP Sans Light"/>
          <w:szCs w:val="24"/>
          <w:lang w:val="cs-CZ"/>
        </w:rPr>
      </w:pPr>
    </w:p>
    <w:p w14:paraId="5E3AD5CD" w14:textId="3FFF4BE6" w:rsidR="00341BC6" w:rsidRPr="00106946" w:rsidRDefault="00DF2DEC" w:rsidP="00067F58">
      <w:pPr>
        <w:autoSpaceDE w:val="0"/>
        <w:autoSpaceDN w:val="0"/>
        <w:adjustRightInd w:val="0"/>
        <w:spacing w:line="276" w:lineRule="auto"/>
        <w:ind w:left="2124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C73C5F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 w:rsidRPr="00C73C5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C73C5F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5F48B0" w:rsidRPr="00C73C5F">
        <w:rPr>
          <w:rFonts w:ascii="BNPP Sans Light" w:hAnsi="BNPP Sans Light"/>
          <w:i/>
          <w:iCs/>
          <w:szCs w:val="24"/>
          <w:lang w:val="cs-CZ"/>
        </w:rPr>
        <w:t>Pejsar</w:t>
      </w:r>
      <w:r w:rsidR="00067A48" w:rsidRPr="00C73C5F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9B1EB8" w:rsidRPr="00C73C5F">
        <w:rPr>
          <w:rFonts w:ascii="BNPP Sans Light" w:hAnsi="BNPP Sans Light"/>
          <w:i/>
          <w:iCs/>
          <w:szCs w:val="24"/>
          <w:lang w:val="cs-CZ"/>
        </w:rPr>
        <w:t xml:space="preserve">ředitel </w:t>
      </w:r>
      <w:r w:rsidR="005F48B0" w:rsidRPr="00C73C5F">
        <w:rPr>
          <w:rFonts w:ascii="BNPP Sans Light" w:hAnsi="BNPP Sans Light"/>
          <w:i/>
          <w:iCs/>
          <w:szCs w:val="24"/>
          <w:lang w:val="cs-CZ"/>
        </w:rPr>
        <w:t>produktu a marketingu</w:t>
      </w:r>
      <w:r w:rsidR="008E085C"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4C6C234C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1EF73EA3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 xml:space="preserve">O BNP Paribas </w:t>
      </w:r>
      <w:proofErr w:type="spellStart"/>
      <w:r w:rsidRPr="00C001E2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Pr="00C001E2">
        <w:rPr>
          <w:rFonts w:ascii="BNPP Sans Light" w:hAnsi="BNPP Sans Light"/>
          <w:b/>
          <w:bCs/>
          <w:szCs w:val="24"/>
          <w:lang w:val="cs-CZ"/>
        </w:rPr>
        <w:t xml:space="preserve">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3FBF1BCE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</w:t>
      </w:r>
      <w:r w:rsidR="004C2D4E">
        <w:rPr>
          <w:rFonts w:ascii="BNPP Sans Light" w:hAnsi="BNPP Sans Light"/>
          <w:szCs w:val="24"/>
          <w:lang w:val="cs-CZ"/>
        </w:rPr>
        <w:br/>
      </w:r>
      <w:r w:rsidR="004C2D4E">
        <w:rPr>
          <w:rFonts w:ascii="BNPP Sans Light" w:hAnsi="BNPP Sans Light"/>
          <w:szCs w:val="24"/>
          <w:lang w:val="cs-CZ"/>
        </w:rPr>
        <w:br/>
      </w:r>
      <w:r w:rsidRPr="00B944DF">
        <w:rPr>
          <w:rFonts w:ascii="BNPP Sans Light" w:hAnsi="BNPP Sans Light"/>
          <w:szCs w:val="24"/>
          <w:lang w:val="cs-CZ"/>
        </w:rPr>
        <w:lastRenderedPageBreak/>
        <w:t>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Pr="00C94A55">
        <w:rPr>
          <w:rFonts w:ascii="BNPP Sans Light" w:hAnsi="BNPP Sans Light"/>
          <w:szCs w:val="24"/>
          <w:lang w:val="cs-CZ"/>
        </w:rPr>
        <w:t>V</w:t>
      </w:r>
      <w:r w:rsidR="00B02DFA">
        <w:rPr>
          <w:rFonts w:ascii="BNPP Sans Light" w:hAnsi="BNPP Sans Light"/>
          <w:szCs w:val="24"/>
          <w:lang w:val="cs-CZ"/>
        </w:rPr>
        <w:t> </w:t>
      </w:r>
      <w:r w:rsidRPr="00C94A55">
        <w:rPr>
          <w:rFonts w:ascii="BNPP Sans Light" w:hAnsi="BNPP Sans Light"/>
          <w:szCs w:val="24"/>
          <w:lang w:val="cs-CZ"/>
        </w:rPr>
        <w:t>soutěži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proofErr w:type="spellStart"/>
      <w:r w:rsidRPr="00C94A55">
        <w:rPr>
          <w:rFonts w:ascii="BNPP Sans Light" w:hAnsi="BNPP Sans Light"/>
          <w:szCs w:val="24"/>
          <w:lang w:val="cs-CZ"/>
        </w:rPr>
        <w:t>Finparáda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–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Finanční produkt roku 2023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V roce 2023 se BNP Paribas </w:t>
      </w:r>
      <w:proofErr w:type="spellStart"/>
      <w:r w:rsidRPr="00C94A55">
        <w:rPr>
          <w:rFonts w:ascii="BNPP Sans Light" w:hAnsi="BNPP Sans Light"/>
          <w:szCs w:val="24"/>
          <w:lang w:val="cs-CZ"/>
        </w:rPr>
        <w:t>Cardif</w:t>
      </w:r>
      <w:proofErr w:type="spellEnd"/>
      <w:r w:rsidRPr="00C94A55">
        <w:rPr>
          <w:rFonts w:ascii="BNPP Sans Light" w:hAnsi="BNPP Sans Light"/>
          <w:szCs w:val="24"/>
          <w:lang w:val="cs-CZ"/>
        </w:rPr>
        <w:t xml:space="preserve">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r w:rsidR="00400195" w:rsidRPr="00400195">
        <w:rPr>
          <w:rFonts w:ascii="BNPP Sans Light" w:hAnsi="BNPP Sans Light"/>
          <w:szCs w:val="24"/>
          <w:lang w:val="cs-CZ"/>
        </w:rPr>
        <w:t>www.cardif.cz</w:t>
      </w:r>
      <w:r>
        <w:rPr>
          <w:rFonts w:ascii="BNPP Sans Light" w:hAnsi="BNPP Sans Light"/>
          <w:szCs w:val="24"/>
          <w:lang w:val="cs-CZ"/>
        </w:rPr>
        <w:t xml:space="preserve">.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7CE25DC" w14:textId="77777777" w:rsidR="00106946" w:rsidRDefault="00106946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Alena Šopov</w:t>
      </w:r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5E67" w14:textId="77777777" w:rsidR="00F50027" w:rsidRDefault="00F50027" w:rsidP="008C4C01">
      <w:r>
        <w:separator/>
      </w:r>
    </w:p>
  </w:endnote>
  <w:endnote w:type="continuationSeparator" w:id="0">
    <w:p w14:paraId="6EBE5543" w14:textId="77777777" w:rsidR="00F50027" w:rsidRDefault="00F50027" w:rsidP="008C4C01">
      <w:r>
        <w:continuationSeparator/>
      </w:r>
    </w:p>
  </w:endnote>
  <w:endnote w:type="continuationNotice" w:id="1">
    <w:p w14:paraId="4175E1EF" w14:textId="77777777" w:rsidR="00F50027" w:rsidRDefault="00F500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67B08637" w:rsidR="00161CB7" w:rsidRDefault="001501B9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961F8BD">
          <wp:simplePos x="0" y="0"/>
          <wp:positionH relativeFrom="margin">
            <wp:posOffset>4974590</wp:posOffset>
          </wp:positionH>
          <wp:positionV relativeFrom="margin">
            <wp:posOffset>9070340</wp:posOffset>
          </wp:positionV>
          <wp:extent cx="1639570" cy="777240"/>
          <wp:effectExtent l="0" t="0" r="0" b="3810"/>
          <wp:wrapSquare wrapText="bothSides"/>
          <wp:docPr id="1146342339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94"/>
                  <a:stretch/>
                </pic:blipFill>
                <pic:spPr bwMode="auto">
                  <a:xfrm>
                    <a:off x="0" y="0"/>
                    <a:ext cx="163957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A9A"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7A19E37D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556672642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91E2E" w14:textId="77777777" w:rsidR="00F50027" w:rsidRDefault="00F50027" w:rsidP="008C4C01">
      <w:r>
        <w:separator/>
      </w:r>
    </w:p>
  </w:footnote>
  <w:footnote w:type="continuationSeparator" w:id="0">
    <w:p w14:paraId="47DA6FD9" w14:textId="77777777" w:rsidR="00F50027" w:rsidRDefault="00F50027" w:rsidP="008C4C01">
      <w:r>
        <w:continuationSeparator/>
      </w:r>
    </w:p>
  </w:footnote>
  <w:footnote w:type="continuationNotice" w:id="1">
    <w:p w14:paraId="347C7F0E" w14:textId="77777777" w:rsidR="00F50027" w:rsidRDefault="00F5002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E733D"/>
    <w:multiLevelType w:val="hybridMultilevel"/>
    <w:tmpl w:val="CF0EC1E6"/>
    <w:lvl w:ilvl="0" w:tplc="A802E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3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141B5"/>
    <w:rsid w:val="00034872"/>
    <w:rsid w:val="0006620F"/>
    <w:rsid w:val="00067A48"/>
    <w:rsid w:val="00067F58"/>
    <w:rsid w:val="00072377"/>
    <w:rsid w:val="0007472F"/>
    <w:rsid w:val="00074C06"/>
    <w:rsid w:val="00077E6C"/>
    <w:rsid w:val="0008348A"/>
    <w:rsid w:val="00084CFB"/>
    <w:rsid w:val="00094C7E"/>
    <w:rsid w:val="000A212B"/>
    <w:rsid w:val="000A4D19"/>
    <w:rsid w:val="000B56B8"/>
    <w:rsid w:val="000C6CEE"/>
    <w:rsid w:val="000D6FFB"/>
    <w:rsid w:val="000E081D"/>
    <w:rsid w:val="000F2BB0"/>
    <w:rsid w:val="001042AB"/>
    <w:rsid w:val="00106946"/>
    <w:rsid w:val="00110112"/>
    <w:rsid w:val="001233AB"/>
    <w:rsid w:val="0013683C"/>
    <w:rsid w:val="001501B9"/>
    <w:rsid w:val="00151D13"/>
    <w:rsid w:val="00157041"/>
    <w:rsid w:val="00160517"/>
    <w:rsid w:val="001607A6"/>
    <w:rsid w:val="00161CB7"/>
    <w:rsid w:val="00166D27"/>
    <w:rsid w:val="00196541"/>
    <w:rsid w:val="001A4E1C"/>
    <w:rsid w:val="001A7C06"/>
    <w:rsid w:val="001B046D"/>
    <w:rsid w:val="001B1C81"/>
    <w:rsid w:val="001B1D74"/>
    <w:rsid w:val="001B24F0"/>
    <w:rsid w:val="001B2B8B"/>
    <w:rsid w:val="001B6589"/>
    <w:rsid w:val="001C3477"/>
    <w:rsid w:val="001D1477"/>
    <w:rsid w:val="001D3B9F"/>
    <w:rsid w:val="001D4EF5"/>
    <w:rsid w:val="001E0145"/>
    <w:rsid w:val="001E0A55"/>
    <w:rsid w:val="001F0B7F"/>
    <w:rsid w:val="001F1C14"/>
    <w:rsid w:val="001F6F14"/>
    <w:rsid w:val="002020CD"/>
    <w:rsid w:val="002045FA"/>
    <w:rsid w:val="00211B23"/>
    <w:rsid w:val="00213486"/>
    <w:rsid w:val="00214AE2"/>
    <w:rsid w:val="00215C08"/>
    <w:rsid w:val="0022214F"/>
    <w:rsid w:val="002249C3"/>
    <w:rsid w:val="00227880"/>
    <w:rsid w:val="00232BDE"/>
    <w:rsid w:val="002360BD"/>
    <w:rsid w:val="00240F4F"/>
    <w:rsid w:val="00250C49"/>
    <w:rsid w:val="002566B2"/>
    <w:rsid w:val="002858D5"/>
    <w:rsid w:val="00287FEC"/>
    <w:rsid w:val="002A4764"/>
    <w:rsid w:val="002B1CC4"/>
    <w:rsid w:val="002B3FCB"/>
    <w:rsid w:val="002C15E8"/>
    <w:rsid w:val="002D28E0"/>
    <w:rsid w:val="002D5A2C"/>
    <w:rsid w:val="002E31BF"/>
    <w:rsid w:val="002F31FA"/>
    <w:rsid w:val="002F5F7F"/>
    <w:rsid w:val="002F6F77"/>
    <w:rsid w:val="00300F60"/>
    <w:rsid w:val="0030339F"/>
    <w:rsid w:val="003041A4"/>
    <w:rsid w:val="00304548"/>
    <w:rsid w:val="00307483"/>
    <w:rsid w:val="00320302"/>
    <w:rsid w:val="0032324E"/>
    <w:rsid w:val="00332E8D"/>
    <w:rsid w:val="003330B0"/>
    <w:rsid w:val="003347EF"/>
    <w:rsid w:val="00336245"/>
    <w:rsid w:val="0034092E"/>
    <w:rsid w:val="00340B97"/>
    <w:rsid w:val="00341BC6"/>
    <w:rsid w:val="00346635"/>
    <w:rsid w:val="00350511"/>
    <w:rsid w:val="003509F7"/>
    <w:rsid w:val="003567F6"/>
    <w:rsid w:val="003708D3"/>
    <w:rsid w:val="00386295"/>
    <w:rsid w:val="00390957"/>
    <w:rsid w:val="003A066F"/>
    <w:rsid w:val="003A1ACF"/>
    <w:rsid w:val="003A5ADD"/>
    <w:rsid w:val="003B2694"/>
    <w:rsid w:val="003B7EFF"/>
    <w:rsid w:val="003D4909"/>
    <w:rsid w:val="003D4E41"/>
    <w:rsid w:val="003E3FE3"/>
    <w:rsid w:val="003E441B"/>
    <w:rsid w:val="003F0BBA"/>
    <w:rsid w:val="003F3C01"/>
    <w:rsid w:val="00400195"/>
    <w:rsid w:val="00411C3B"/>
    <w:rsid w:val="0041702A"/>
    <w:rsid w:val="0042340B"/>
    <w:rsid w:val="0043277B"/>
    <w:rsid w:val="0043508C"/>
    <w:rsid w:val="00441A99"/>
    <w:rsid w:val="00447A22"/>
    <w:rsid w:val="00454640"/>
    <w:rsid w:val="00460D98"/>
    <w:rsid w:val="00460DD0"/>
    <w:rsid w:val="00463D4E"/>
    <w:rsid w:val="00470209"/>
    <w:rsid w:val="004709E3"/>
    <w:rsid w:val="00474CD7"/>
    <w:rsid w:val="004840AC"/>
    <w:rsid w:val="00485BFC"/>
    <w:rsid w:val="00492619"/>
    <w:rsid w:val="004970E5"/>
    <w:rsid w:val="004A33B5"/>
    <w:rsid w:val="004A34D3"/>
    <w:rsid w:val="004C2D4E"/>
    <w:rsid w:val="004E4B77"/>
    <w:rsid w:val="00500FCF"/>
    <w:rsid w:val="00501673"/>
    <w:rsid w:val="0050680B"/>
    <w:rsid w:val="00506C33"/>
    <w:rsid w:val="005159D5"/>
    <w:rsid w:val="00522B92"/>
    <w:rsid w:val="005325C1"/>
    <w:rsid w:val="00537310"/>
    <w:rsid w:val="00537F3C"/>
    <w:rsid w:val="005401F2"/>
    <w:rsid w:val="0054037A"/>
    <w:rsid w:val="005477B6"/>
    <w:rsid w:val="005544EB"/>
    <w:rsid w:val="0056255F"/>
    <w:rsid w:val="00564A9A"/>
    <w:rsid w:val="005677D8"/>
    <w:rsid w:val="00572583"/>
    <w:rsid w:val="00573F47"/>
    <w:rsid w:val="00574AE9"/>
    <w:rsid w:val="00585B41"/>
    <w:rsid w:val="00597CCA"/>
    <w:rsid w:val="005A4414"/>
    <w:rsid w:val="005A47C0"/>
    <w:rsid w:val="005B58E2"/>
    <w:rsid w:val="005C0F94"/>
    <w:rsid w:val="005E0700"/>
    <w:rsid w:val="005E531F"/>
    <w:rsid w:val="005F1F96"/>
    <w:rsid w:val="005F3277"/>
    <w:rsid w:val="005F48B0"/>
    <w:rsid w:val="005F6F06"/>
    <w:rsid w:val="00610168"/>
    <w:rsid w:val="006135C0"/>
    <w:rsid w:val="006252E9"/>
    <w:rsid w:val="0063274A"/>
    <w:rsid w:val="00634F0A"/>
    <w:rsid w:val="006503FF"/>
    <w:rsid w:val="00652921"/>
    <w:rsid w:val="00655273"/>
    <w:rsid w:val="00661578"/>
    <w:rsid w:val="00661985"/>
    <w:rsid w:val="0067556E"/>
    <w:rsid w:val="006805D3"/>
    <w:rsid w:val="00684DC6"/>
    <w:rsid w:val="00686D90"/>
    <w:rsid w:val="00697AA7"/>
    <w:rsid w:val="006A0DCA"/>
    <w:rsid w:val="006A6DD1"/>
    <w:rsid w:val="006B12D0"/>
    <w:rsid w:val="006B40E2"/>
    <w:rsid w:val="006C0A5A"/>
    <w:rsid w:val="006C2224"/>
    <w:rsid w:val="006D3104"/>
    <w:rsid w:val="006E6556"/>
    <w:rsid w:val="006F15F8"/>
    <w:rsid w:val="006F3FB2"/>
    <w:rsid w:val="00701BFB"/>
    <w:rsid w:val="00707D98"/>
    <w:rsid w:val="00710021"/>
    <w:rsid w:val="007122D5"/>
    <w:rsid w:val="00715B37"/>
    <w:rsid w:val="00716C8B"/>
    <w:rsid w:val="00717C84"/>
    <w:rsid w:val="00727DD9"/>
    <w:rsid w:val="00734B99"/>
    <w:rsid w:val="00761F78"/>
    <w:rsid w:val="00762F53"/>
    <w:rsid w:val="00766BA3"/>
    <w:rsid w:val="00766C06"/>
    <w:rsid w:val="007732E2"/>
    <w:rsid w:val="00773F76"/>
    <w:rsid w:val="0077492F"/>
    <w:rsid w:val="007862CB"/>
    <w:rsid w:val="007867E2"/>
    <w:rsid w:val="007957BB"/>
    <w:rsid w:val="007A066E"/>
    <w:rsid w:val="007A2DE7"/>
    <w:rsid w:val="007A6BDA"/>
    <w:rsid w:val="007B2E36"/>
    <w:rsid w:val="007B41B9"/>
    <w:rsid w:val="007B4CBB"/>
    <w:rsid w:val="007B62EB"/>
    <w:rsid w:val="007B76B3"/>
    <w:rsid w:val="007C0374"/>
    <w:rsid w:val="007C10AA"/>
    <w:rsid w:val="007C2893"/>
    <w:rsid w:val="007C35FC"/>
    <w:rsid w:val="007C5F43"/>
    <w:rsid w:val="007D3409"/>
    <w:rsid w:val="007E2232"/>
    <w:rsid w:val="007E55C4"/>
    <w:rsid w:val="007F155B"/>
    <w:rsid w:val="007F461F"/>
    <w:rsid w:val="007F501C"/>
    <w:rsid w:val="00805A96"/>
    <w:rsid w:val="0080623A"/>
    <w:rsid w:val="008064BA"/>
    <w:rsid w:val="008066E2"/>
    <w:rsid w:val="00811824"/>
    <w:rsid w:val="00812485"/>
    <w:rsid w:val="00812B7B"/>
    <w:rsid w:val="00825F40"/>
    <w:rsid w:val="00827F92"/>
    <w:rsid w:val="0083014E"/>
    <w:rsid w:val="00831B93"/>
    <w:rsid w:val="008378A2"/>
    <w:rsid w:val="00842208"/>
    <w:rsid w:val="00855515"/>
    <w:rsid w:val="00860090"/>
    <w:rsid w:val="00862504"/>
    <w:rsid w:val="008706D3"/>
    <w:rsid w:val="008715DC"/>
    <w:rsid w:val="00875B9F"/>
    <w:rsid w:val="008764E3"/>
    <w:rsid w:val="0089321A"/>
    <w:rsid w:val="008951A8"/>
    <w:rsid w:val="008A0A92"/>
    <w:rsid w:val="008A340D"/>
    <w:rsid w:val="008B52BF"/>
    <w:rsid w:val="008B618A"/>
    <w:rsid w:val="008C0B2F"/>
    <w:rsid w:val="008C4C01"/>
    <w:rsid w:val="008D1632"/>
    <w:rsid w:val="008D1A6B"/>
    <w:rsid w:val="008D3F63"/>
    <w:rsid w:val="008D45E7"/>
    <w:rsid w:val="008E085C"/>
    <w:rsid w:val="008E5425"/>
    <w:rsid w:val="008F4F0A"/>
    <w:rsid w:val="00912A62"/>
    <w:rsid w:val="00914F4B"/>
    <w:rsid w:val="00920C1C"/>
    <w:rsid w:val="00942502"/>
    <w:rsid w:val="00953840"/>
    <w:rsid w:val="00960146"/>
    <w:rsid w:val="00962CB6"/>
    <w:rsid w:val="00963F72"/>
    <w:rsid w:val="00970DFA"/>
    <w:rsid w:val="00987AD6"/>
    <w:rsid w:val="00991878"/>
    <w:rsid w:val="00993AD6"/>
    <w:rsid w:val="00994766"/>
    <w:rsid w:val="00996625"/>
    <w:rsid w:val="00997E0C"/>
    <w:rsid w:val="009A2183"/>
    <w:rsid w:val="009A3DD2"/>
    <w:rsid w:val="009A4211"/>
    <w:rsid w:val="009B1EB8"/>
    <w:rsid w:val="009B20D8"/>
    <w:rsid w:val="009B75E8"/>
    <w:rsid w:val="009D0E33"/>
    <w:rsid w:val="009D5931"/>
    <w:rsid w:val="009E2B96"/>
    <w:rsid w:val="009E3595"/>
    <w:rsid w:val="009E4824"/>
    <w:rsid w:val="009E4CB3"/>
    <w:rsid w:val="009E5B32"/>
    <w:rsid w:val="009F484B"/>
    <w:rsid w:val="009F7C95"/>
    <w:rsid w:val="00A068DE"/>
    <w:rsid w:val="00A06AA0"/>
    <w:rsid w:val="00A120AF"/>
    <w:rsid w:val="00A173F1"/>
    <w:rsid w:val="00A21A1D"/>
    <w:rsid w:val="00A2603F"/>
    <w:rsid w:val="00A3421C"/>
    <w:rsid w:val="00A36995"/>
    <w:rsid w:val="00A4384B"/>
    <w:rsid w:val="00A5534B"/>
    <w:rsid w:val="00A61A99"/>
    <w:rsid w:val="00A76752"/>
    <w:rsid w:val="00A77A35"/>
    <w:rsid w:val="00A83AB1"/>
    <w:rsid w:val="00A85196"/>
    <w:rsid w:val="00A90D7A"/>
    <w:rsid w:val="00A95062"/>
    <w:rsid w:val="00A96EFB"/>
    <w:rsid w:val="00AA737B"/>
    <w:rsid w:val="00AB09FE"/>
    <w:rsid w:val="00AB47CA"/>
    <w:rsid w:val="00AB63A2"/>
    <w:rsid w:val="00AC0C33"/>
    <w:rsid w:val="00AD1089"/>
    <w:rsid w:val="00AD44B0"/>
    <w:rsid w:val="00AF30C2"/>
    <w:rsid w:val="00AF3D2D"/>
    <w:rsid w:val="00AF7D78"/>
    <w:rsid w:val="00B02DFA"/>
    <w:rsid w:val="00B10408"/>
    <w:rsid w:val="00B10A01"/>
    <w:rsid w:val="00B138C5"/>
    <w:rsid w:val="00B16C9A"/>
    <w:rsid w:val="00B202A9"/>
    <w:rsid w:val="00B3159E"/>
    <w:rsid w:val="00B32E0A"/>
    <w:rsid w:val="00B33111"/>
    <w:rsid w:val="00B521C0"/>
    <w:rsid w:val="00B61EEB"/>
    <w:rsid w:val="00B639BB"/>
    <w:rsid w:val="00B64126"/>
    <w:rsid w:val="00B66942"/>
    <w:rsid w:val="00B7108C"/>
    <w:rsid w:val="00B73216"/>
    <w:rsid w:val="00B73581"/>
    <w:rsid w:val="00B80CA7"/>
    <w:rsid w:val="00B9187F"/>
    <w:rsid w:val="00B944DF"/>
    <w:rsid w:val="00BA12F4"/>
    <w:rsid w:val="00BA4F75"/>
    <w:rsid w:val="00BB150B"/>
    <w:rsid w:val="00BB5946"/>
    <w:rsid w:val="00BD0BF7"/>
    <w:rsid w:val="00BD3082"/>
    <w:rsid w:val="00BD7BAA"/>
    <w:rsid w:val="00BF6229"/>
    <w:rsid w:val="00C001E2"/>
    <w:rsid w:val="00C05FBD"/>
    <w:rsid w:val="00C06A36"/>
    <w:rsid w:val="00C11389"/>
    <w:rsid w:val="00C12A21"/>
    <w:rsid w:val="00C14274"/>
    <w:rsid w:val="00C1512F"/>
    <w:rsid w:val="00C26487"/>
    <w:rsid w:val="00C2682A"/>
    <w:rsid w:val="00C30903"/>
    <w:rsid w:val="00C33BFA"/>
    <w:rsid w:val="00C35D53"/>
    <w:rsid w:val="00C45571"/>
    <w:rsid w:val="00C47B7C"/>
    <w:rsid w:val="00C5452F"/>
    <w:rsid w:val="00C72204"/>
    <w:rsid w:val="00C73C5F"/>
    <w:rsid w:val="00C822FA"/>
    <w:rsid w:val="00CA50E9"/>
    <w:rsid w:val="00CA58E9"/>
    <w:rsid w:val="00CB2965"/>
    <w:rsid w:val="00CC0154"/>
    <w:rsid w:val="00CD7881"/>
    <w:rsid w:val="00CE6750"/>
    <w:rsid w:val="00CE7C28"/>
    <w:rsid w:val="00CF15D3"/>
    <w:rsid w:val="00CF44C8"/>
    <w:rsid w:val="00CF5C70"/>
    <w:rsid w:val="00CF69DE"/>
    <w:rsid w:val="00D052F2"/>
    <w:rsid w:val="00D05E1E"/>
    <w:rsid w:val="00D05E2E"/>
    <w:rsid w:val="00D061B6"/>
    <w:rsid w:val="00D065B0"/>
    <w:rsid w:val="00D22A64"/>
    <w:rsid w:val="00D31F9C"/>
    <w:rsid w:val="00D37A7D"/>
    <w:rsid w:val="00D45E69"/>
    <w:rsid w:val="00D50574"/>
    <w:rsid w:val="00D52499"/>
    <w:rsid w:val="00D54116"/>
    <w:rsid w:val="00D5535A"/>
    <w:rsid w:val="00D63B93"/>
    <w:rsid w:val="00D6786C"/>
    <w:rsid w:val="00D733D9"/>
    <w:rsid w:val="00D75EB2"/>
    <w:rsid w:val="00D90520"/>
    <w:rsid w:val="00DA1A3E"/>
    <w:rsid w:val="00DA2C85"/>
    <w:rsid w:val="00DA34CB"/>
    <w:rsid w:val="00DB0757"/>
    <w:rsid w:val="00DB4CFA"/>
    <w:rsid w:val="00DC2566"/>
    <w:rsid w:val="00DC2DE9"/>
    <w:rsid w:val="00DD011A"/>
    <w:rsid w:val="00DD3B26"/>
    <w:rsid w:val="00DD59EA"/>
    <w:rsid w:val="00DE093A"/>
    <w:rsid w:val="00DE3610"/>
    <w:rsid w:val="00DE7911"/>
    <w:rsid w:val="00DF2DEC"/>
    <w:rsid w:val="00E078B8"/>
    <w:rsid w:val="00E10BE1"/>
    <w:rsid w:val="00E163FF"/>
    <w:rsid w:val="00E17449"/>
    <w:rsid w:val="00E2061A"/>
    <w:rsid w:val="00E26694"/>
    <w:rsid w:val="00E33EA7"/>
    <w:rsid w:val="00E37B92"/>
    <w:rsid w:val="00E4558A"/>
    <w:rsid w:val="00E50959"/>
    <w:rsid w:val="00E5481C"/>
    <w:rsid w:val="00E62490"/>
    <w:rsid w:val="00E6705C"/>
    <w:rsid w:val="00E760F6"/>
    <w:rsid w:val="00E839E8"/>
    <w:rsid w:val="00E90872"/>
    <w:rsid w:val="00E91F87"/>
    <w:rsid w:val="00E946FE"/>
    <w:rsid w:val="00EA17D0"/>
    <w:rsid w:val="00EB4CFD"/>
    <w:rsid w:val="00ED09FB"/>
    <w:rsid w:val="00ED3DBB"/>
    <w:rsid w:val="00ED5AE4"/>
    <w:rsid w:val="00ED5D4A"/>
    <w:rsid w:val="00ED7E94"/>
    <w:rsid w:val="00EE4988"/>
    <w:rsid w:val="00EF1BB8"/>
    <w:rsid w:val="00EF2279"/>
    <w:rsid w:val="00EF5325"/>
    <w:rsid w:val="00F11981"/>
    <w:rsid w:val="00F164AB"/>
    <w:rsid w:val="00F26723"/>
    <w:rsid w:val="00F36C35"/>
    <w:rsid w:val="00F4010C"/>
    <w:rsid w:val="00F42E1C"/>
    <w:rsid w:val="00F44327"/>
    <w:rsid w:val="00F46DA6"/>
    <w:rsid w:val="00F50027"/>
    <w:rsid w:val="00F61CB9"/>
    <w:rsid w:val="00F7088B"/>
    <w:rsid w:val="00F73B40"/>
    <w:rsid w:val="00F77C35"/>
    <w:rsid w:val="00F83F4B"/>
    <w:rsid w:val="00F8609A"/>
    <w:rsid w:val="00F909A0"/>
    <w:rsid w:val="00F90F01"/>
    <w:rsid w:val="00F91D9C"/>
    <w:rsid w:val="00FA07CA"/>
    <w:rsid w:val="00FA2FE1"/>
    <w:rsid w:val="00FA433A"/>
    <w:rsid w:val="00FA4A41"/>
    <w:rsid w:val="00FB05F9"/>
    <w:rsid w:val="00FB2773"/>
    <w:rsid w:val="00FB6499"/>
    <w:rsid w:val="00FB7A2A"/>
    <w:rsid w:val="00FC21A8"/>
    <w:rsid w:val="00FC2598"/>
    <w:rsid w:val="00FC4F54"/>
    <w:rsid w:val="00FC6A9B"/>
    <w:rsid w:val="00FC7903"/>
    <w:rsid w:val="00FD2AD0"/>
    <w:rsid w:val="00FD345B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15F842F0-38E5-435C-9352-5401F43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3452</Characters>
  <Application>Microsoft Office Word</Application>
  <DocSecurity>0</DocSecurity>
  <Lines>75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Kokešová</dc:creator>
  <cp:keywords/>
  <dc:description/>
  <cp:lastModifiedBy>Dolejšová Kristýna</cp:lastModifiedBy>
  <cp:revision>3</cp:revision>
  <cp:lastPrinted>2015-06-02T15:55:00Z</cp:lastPrinted>
  <dcterms:created xsi:type="dcterms:W3CDTF">2024-11-22T08:04:00Z</dcterms:created>
  <dcterms:modified xsi:type="dcterms:W3CDTF">2024-11-25T07:51:00Z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