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256086F7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Praha</w:t>
      </w:r>
      <w:r w:rsidR="00BD3082" w:rsidRPr="005B58E2">
        <w:rPr>
          <w:rFonts w:ascii="BNPP Sans Light" w:hAnsi="BNPP Sans Light"/>
          <w:lang w:val="cs-CZ"/>
        </w:rPr>
        <w:t xml:space="preserve">, </w:t>
      </w:r>
      <w:r w:rsidR="00D27AAF">
        <w:rPr>
          <w:rFonts w:ascii="BNPP Sans Light" w:hAnsi="BNPP Sans Light"/>
          <w:lang w:val="cs-CZ"/>
        </w:rPr>
        <w:t>14</w:t>
      </w:r>
      <w:r w:rsidR="0054496D">
        <w:rPr>
          <w:rFonts w:ascii="BNPP Sans Light" w:hAnsi="BNPP Sans Light"/>
          <w:lang w:val="cs-CZ"/>
        </w:rPr>
        <w:t xml:space="preserve">. </w:t>
      </w:r>
      <w:r w:rsidR="00D36B8D">
        <w:rPr>
          <w:rFonts w:ascii="BNPP Sans Light" w:hAnsi="BNPP Sans Light"/>
          <w:lang w:val="cs-CZ"/>
        </w:rPr>
        <w:t>listopadu</w:t>
      </w:r>
      <w:r w:rsidR="0054496D">
        <w:rPr>
          <w:rFonts w:ascii="BNPP Sans Light" w:hAnsi="BNPP Sans Light"/>
          <w:lang w:val="cs-CZ"/>
        </w:rPr>
        <w:t xml:space="preserve"> 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282C1850" w14:textId="7812F9BA" w:rsidR="00B9187F" w:rsidRPr="0054496D" w:rsidRDefault="006A422C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>
        <w:rPr>
          <w:rFonts w:ascii="BNPP Sans Light" w:hAnsi="BNPP Sans Light"/>
          <w:b/>
          <w:sz w:val="32"/>
          <w:szCs w:val="32"/>
          <w:lang w:val="cs-CZ"/>
        </w:rPr>
        <w:t>Nové</w:t>
      </w:r>
      <w:r w:rsidR="00753780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proofErr w:type="spellStart"/>
      <w:r w:rsidR="00D346B8">
        <w:rPr>
          <w:rFonts w:ascii="BNPP Sans Light" w:hAnsi="BNPP Sans Light"/>
          <w:b/>
          <w:sz w:val="32"/>
          <w:szCs w:val="32"/>
          <w:lang w:val="cs-CZ"/>
        </w:rPr>
        <w:t>innogy</w:t>
      </w:r>
      <w:proofErr w:type="spellEnd"/>
      <w:r w:rsidR="00D346B8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>
        <w:rPr>
          <w:rFonts w:ascii="BNPP Sans Light" w:hAnsi="BNPP Sans Light"/>
          <w:b/>
          <w:sz w:val="32"/>
          <w:szCs w:val="32"/>
          <w:lang w:val="cs-CZ"/>
        </w:rPr>
        <w:t>Pojištění domácnosti s</w:t>
      </w:r>
      <w:r>
        <w:rPr>
          <w:rFonts w:ascii="Calibri" w:hAnsi="Calibri" w:cs="Calibri"/>
          <w:b/>
          <w:sz w:val="32"/>
          <w:szCs w:val="32"/>
          <w:lang w:val="cs-CZ"/>
        </w:rPr>
        <w:t> </w:t>
      </w:r>
      <w:r>
        <w:rPr>
          <w:rFonts w:ascii="BNPP Sans Light" w:hAnsi="BNPP Sans Light"/>
          <w:b/>
          <w:sz w:val="32"/>
          <w:szCs w:val="32"/>
          <w:lang w:val="cs-CZ"/>
        </w:rPr>
        <w:t>rozšířenou ochranou proti internetovým rizikům a prodlouženou zárukou na spotřebiče</w:t>
      </w:r>
      <w:r w:rsidR="00155F5A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</w:p>
    <w:p w14:paraId="65F4B899" w14:textId="785AABC8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B478310" w14:textId="17D2AFE3" w:rsidR="007A066E" w:rsidRDefault="00203213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Český l</w:t>
      </w:r>
      <w:r w:rsidRPr="00203213">
        <w:rPr>
          <w:rFonts w:ascii="BNPP Sans Light" w:hAnsi="BNPP Sans Light"/>
          <w:b/>
          <w:bCs/>
          <w:szCs w:val="24"/>
          <w:lang w:val="cs-CZ"/>
        </w:rPr>
        <w:t>ídr mezi dodavateli zemního plynu pro domácnosti a firmy</w:t>
      </w:r>
      <w:r>
        <w:rPr>
          <w:rFonts w:ascii="BNPP Sans Light" w:hAnsi="BNPP Sans Light"/>
          <w:b/>
          <w:bCs/>
          <w:szCs w:val="24"/>
          <w:lang w:val="cs-CZ"/>
        </w:rPr>
        <w:t xml:space="preserve">, společnost </w:t>
      </w:r>
      <w:proofErr w:type="spellStart"/>
      <w:r w:rsidR="00561D14">
        <w:rPr>
          <w:rFonts w:ascii="BNPP Sans Light" w:hAnsi="BNPP Sans Light"/>
          <w:b/>
          <w:bCs/>
          <w:szCs w:val="24"/>
          <w:lang w:val="cs-CZ"/>
        </w:rPr>
        <w:t>i</w:t>
      </w:r>
      <w:r w:rsidR="009C34C1">
        <w:rPr>
          <w:rFonts w:ascii="BNPP Sans Light" w:hAnsi="BNPP Sans Light"/>
          <w:b/>
          <w:bCs/>
          <w:szCs w:val="24"/>
          <w:lang w:val="cs-CZ"/>
        </w:rPr>
        <w:t>nnogy</w:t>
      </w:r>
      <w:proofErr w:type="spellEnd"/>
      <w:r w:rsidR="00D2112C">
        <w:rPr>
          <w:rFonts w:ascii="BNPP Sans Light" w:hAnsi="BNPP Sans Light"/>
          <w:b/>
          <w:bCs/>
          <w:szCs w:val="24"/>
          <w:lang w:val="cs-CZ"/>
        </w:rPr>
        <w:t xml:space="preserve"> Energie</w:t>
      </w:r>
      <w:r w:rsidR="009C34C1">
        <w:rPr>
          <w:rFonts w:ascii="BNPP Sans Light" w:hAnsi="BNPP Sans Light"/>
          <w:b/>
          <w:bCs/>
          <w:szCs w:val="24"/>
          <w:lang w:val="cs-CZ"/>
        </w:rPr>
        <w:t>,</w:t>
      </w:r>
      <w:r>
        <w:rPr>
          <w:rFonts w:ascii="BNPP Sans Light" w:hAnsi="BNPP Sans Light"/>
          <w:b/>
          <w:bCs/>
          <w:szCs w:val="24"/>
          <w:lang w:val="cs-CZ"/>
        </w:rPr>
        <w:t xml:space="preserve"> nabízí možnost sjednání nového </w:t>
      </w:r>
      <w:r w:rsidR="009C34C1">
        <w:rPr>
          <w:rFonts w:ascii="BNPP Sans Light" w:hAnsi="BNPP Sans Light"/>
          <w:b/>
          <w:bCs/>
          <w:szCs w:val="24"/>
          <w:lang w:val="cs-CZ"/>
        </w:rPr>
        <w:t>p</w:t>
      </w:r>
      <w:r>
        <w:rPr>
          <w:rFonts w:ascii="BNPP Sans Light" w:hAnsi="BNPP Sans Light"/>
          <w:b/>
          <w:bCs/>
          <w:szCs w:val="24"/>
          <w:lang w:val="cs-CZ"/>
        </w:rPr>
        <w:t xml:space="preserve">ojištění domácnosti, které zákazníkům </w:t>
      </w:r>
      <w:r w:rsidR="00DC5D61">
        <w:rPr>
          <w:rFonts w:ascii="BNPP Sans Light" w:hAnsi="BNPP Sans Light"/>
          <w:b/>
          <w:bCs/>
          <w:szCs w:val="24"/>
          <w:lang w:val="cs-CZ"/>
        </w:rPr>
        <w:t xml:space="preserve">přináší </w:t>
      </w:r>
      <w:r>
        <w:rPr>
          <w:rFonts w:ascii="BNPP Sans Light" w:hAnsi="BNPP Sans Light"/>
          <w:b/>
          <w:bCs/>
          <w:szCs w:val="24"/>
          <w:lang w:val="cs-CZ"/>
        </w:rPr>
        <w:t xml:space="preserve">komplexní ochranu. Pojištění, které </w:t>
      </w:r>
      <w:r w:rsidR="00155F5A">
        <w:rPr>
          <w:rFonts w:ascii="BNPP Sans Light" w:hAnsi="BNPP Sans Light"/>
          <w:b/>
          <w:bCs/>
          <w:szCs w:val="24"/>
          <w:lang w:val="cs-CZ"/>
        </w:rPr>
        <w:t xml:space="preserve">poskytuje BNP Paribas </w:t>
      </w:r>
      <w:proofErr w:type="spellStart"/>
      <w:r w:rsidR="00155F5A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155F5A">
        <w:rPr>
          <w:rFonts w:ascii="BNPP Sans Light" w:hAnsi="BNPP Sans Light"/>
          <w:b/>
          <w:bCs/>
          <w:szCs w:val="24"/>
          <w:lang w:val="cs-CZ"/>
        </w:rPr>
        <w:t xml:space="preserve"> Pojišťovna, kryje nejen ško</w:t>
      </w:r>
      <w:r w:rsidR="00EF0379">
        <w:rPr>
          <w:rFonts w:ascii="BNPP Sans Light" w:hAnsi="BNPP Sans Light"/>
          <w:b/>
          <w:bCs/>
          <w:szCs w:val="24"/>
          <w:lang w:val="cs-CZ"/>
        </w:rPr>
        <w:t>dy</w:t>
      </w:r>
      <w:r w:rsidR="00155F5A">
        <w:rPr>
          <w:rFonts w:ascii="BNPP Sans Light" w:hAnsi="BNPP Sans Light"/>
          <w:b/>
          <w:bCs/>
          <w:szCs w:val="24"/>
          <w:lang w:val="cs-CZ"/>
        </w:rPr>
        <w:t xml:space="preserve"> na jejich domovech, ale chrání </w:t>
      </w:r>
      <w:r w:rsidR="00DC5D61">
        <w:rPr>
          <w:rFonts w:ascii="BNPP Sans Light" w:hAnsi="BNPP Sans Light"/>
          <w:b/>
          <w:bCs/>
          <w:szCs w:val="24"/>
          <w:lang w:val="cs-CZ"/>
        </w:rPr>
        <w:t xml:space="preserve">například </w:t>
      </w:r>
      <w:r w:rsidR="00155F5A">
        <w:rPr>
          <w:rFonts w:ascii="BNPP Sans Light" w:hAnsi="BNPP Sans Light"/>
          <w:b/>
          <w:bCs/>
          <w:szCs w:val="24"/>
          <w:lang w:val="cs-CZ"/>
        </w:rPr>
        <w:t xml:space="preserve">také proti zneužití platebních karet. </w:t>
      </w:r>
    </w:p>
    <w:p w14:paraId="0C91EAD0" w14:textId="77777777" w:rsidR="00203213" w:rsidRDefault="00203213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D8B74AD" w14:textId="2D6CD59E" w:rsidR="0092697D" w:rsidRDefault="00155F5A" w:rsidP="008E3169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„</w:t>
      </w:r>
      <w:r w:rsidR="00EF0379" w:rsidRPr="008E217A">
        <w:rPr>
          <w:rFonts w:ascii="BNPP Sans Light" w:hAnsi="BNPP Sans Light"/>
          <w:i/>
          <w:iCs/>
          <w:szCs w:val="24"/>
          <w:lang w:val="cs-CZ"/>
        </w:rPr>
        <w:t>Pojištění</w:t>
      </w:r>
      <w:r w:rsidR="009C34C1">
        <w:rPr>
          <w:rFonts w:ascii="BNPP Sans Light" w:hAnsi="BNPP Sans Light"/>
          <w:i/>
          <w:iCs/>
          <w:szCs w:val="24"/>
          <w:lang w:val="cs-CZ"/>
        </w:rPr>
        <w:t xml:space="preserve"> domácnosti</w:t>
      </w:r>
      <w:r w:rsidR="006A422C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1672D8">
        <w:rPr>
          <w:rFonts w:ascii="BNPP Sans Light" w:hAnsi="BNPP Sans Light"/>
          <w:i/>
          <w:iCs/>
          <w:szCs w:val="24"/>
          <w:lang w:val="cs-CZ"/>
        </w:rPr>
        <w:t xml:space="preserve">od </w:t>
      </w:r>
      <w:r w:rsidR="00EF0379" w:rsidRPr="008E217A">
        <w:rPr>
          <w:rFonts w:ascii="BNPP Sans Light" w:hAnsi="BNPP Sans Light"/>
          <w:i/>
          <w:iCs/>
          <w:szCs w:val="24"/>
          <w:lang w:val="cs-CZ"/>
        </w:rPr>
        <w:t xml:space="preserve">BNP Paribas </w:t>
      </w:r>
      <w:proofErr w:type="spellStart"/>
      <w:r w:rsidR="00EF0379" w:rsidRPr="008E217A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6A422C">
        <w:rPr>
          <w:rFonts w:ascii="BNPP Sans Light" w:hAnsi="BNPP Sans Light"/>
          <w:i/>
          <w:iCs/>
          <w:szCs w:val="24"/>
          <w:lang w:val="cs-CZ"/>
        </w:rPr>
        <w:t xml:space="preserve"> Pojišťovn</w:t>
      </w:r>
      <w:r w:rsidR="001672D8">
        <w:rPr>
          <w:rFonts w:ascii="BNPP Sans Light" w:hAnsi="BNPP Sans Light"/>
          <w:i/>
          <w:iCs/>
          <w:szCs w:val="24"/>
          <w:lang w:val="cs-CZ"/>
        </w:rPr>
        <w:t>y, které</w:t>
      </w:r>
      <w:r w:rsidR="006A422C">
        <w:rPr>
          <w:rFonts w:ascii="BNPP Sans Light" w:hAnsi="BNPP Sans Light"/>
          <w:i/>
          <w:iCs/>
          <w:szCs w:val="24"/>
          <w:lang w:val="cs-CZ"/>
        </w:rPr>
        <w:t xml:space="preserve"> v</w:t>
      </w:r>
      <w:r w:rsidR="006A422C">
        <w:rPr>
          <w:rFonts w:ascii="Calibri" w:hAnsi="Calibri" w:cs="Calibri"/>
          <w:i/>
          <w:iCs/>
          <w:szCs w:val="24"/>
          <w:lang w:val="cs-CZ"/>
        </w:rPr>
        <w:t> </w:t>
      </w:r>
      <w:proofErr w:type="spellStart"/>
      <w:r w:rsidR="00CF3D3D">
        <w:rPr>
          <w:rFonts w:ascii="BNPP Sans Light" w:hAnsi="BNPP Sans Light"/>
          <w:i/>
          <w:iCs/>
          <w:szCs w:val="24"/>
          <w:lang w:val="cs-CZ"/>
        </w:rPr>
        <w:t>i</w:t>
      </w:r>
      <w:r w:rsidR="006A422C">
        <w:rPr>
          <w:rFonts w:ascii="BNPP Sans Light" w:hAnsi="BNPP Sans Light"/>
          <w:i/>
          <w:iCs/>
          <w:szCs w:val="24"/>
          <w:lang w:val="cs-CZ"/>
        </w:rPr>
        <w:t>nnogy</w:t>
      </w:r>
      <w:proofErr w:type="spellEnd"/>
      <w:r w:rsidR="006A422C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EF0379" w:rsidRPr="008E217A">
        <w:rPr>
          <w:rFonts w:ascii="BNPP Sans Light" w:hAnsi="BNPP Sans Light"/>
          <w:i/>
          <w:iCs/>
          <w:szCs w:val="24"/>
          <w:lang w:val="cs-CZ"/>
        </w:rPr>
        <w:t xml:space="preserve">nabízíme, klientům představujeme v nové podobě. </w:t>
      </w:r>
      <w:r w:rsidR="009C34C1">
        <w:rPr>
          <w:rFonts w:ascii="BNPP Sans Light" w:hAnsi="BNPP Sans Light"/>
          <w:i/>
          <w:iCs/>
          <w:szCs w:val="24"/>
          <w:lang w:val="cs-CZ"/>
        </w:rPr>
        <w:t>Těm</w:t>
      </w:r>
      <w:r w:rsidR="00EF0379" w:rsidRPr="008E217A">
        <w:rPr>
          <w:rFonts w:ascii="BNPP Sans Light" w:hAnsi="BNPP Sans Light"/>
          <w:i/>
          <w:iCs/>
          <w:szCs w:val="24"/>
          <w:lang w:val="cs-CZ"/>
        </w:rPr>
        <w:t xml:space="preserve">, kteří </w:t>
      </w:r>
      <w:r w:rsidR="00DC5D61">
        <w:rPr>
          <w:rFonts w:ascii="BNPP Sans Light" w:hAnsi="BNPP Sans Light"/>
          <w:i/>
          <w:iCs/>
          <w:szCs w:val="24"/>
          <w:lang w:val="cs-CZ"/>
        </w:rPr>
        <w:t>od</w:t>
      </w:r>
      <w:r w:rsidR="00EF0379" w:rsidRPr="008E217A">
        <w:rPr>
          <w:rFonts w:ascii="BNPP Sans Light" w:hAnsi="BNPP Sans Light"/>
          <w:i/>
          <w:iCs/>
          <w:szCs w:val="24"/>
          <w:lang w:val="cs-CZ"/>
        </w:rPr>
        <w:t xml:space="preserve"> nás odebírají plyn nebo elektřinu, </w:t>
      </w:r>
      <w:r w:rsidR="008E217A" w:rsidRPr="008E217A">
        <w:rPr>
          <w:rFonts w:ascii="BNPP Sans Light" w:hAnsi="BNPP Sans Light"/>
          <w:i/>
          <w:iCs/>
          <w:szCs w:val="24"/>
          <w:lang w:val="cs-CZ"/>
        </w:rPr>
        <w:t xml:space="preserve">poskytuje ochranu </w:t>
      </w:r>
      <w:r w:rsidR="00D2112C">
        <w:rPr>
          <w:rFonts w:ascii="BNPP Sans Light" w:hAnsi="BNPP Sans Light"/>
          <w:i/>
          <w:iCs/>
          <w:szCs w:val="24"/>
          <w:lang w:val="cs-CZ"/>
        </w:rPr>
        <w:t xml:space="preserve">nejen </w:t>
      </w:r>
      <w:r w:rsidR="008E217A" w:rsidRPr="008E217A">
        <w:rPr>
          <w:rFonts w:ascii="BNPP Sans Light" w:hAnsi="BNPP Sans Light"/>
          <w:i/>
          <w:iCs/>
          <w:szCs w:val="24"/>
          <w:lang w:val="cs-CZ"/>
        </w:rPr>
        <w:t xml:space="preserve">před požárem, únikem vody nebo krádeží. Zároveň mohou </w:t>
      </w:r>
      <w:r w:rsidR="009C34C1">
        <w:rPr>
          <w:rFonts w:ascii="BNPP Sans Light" w:hAnsi="BNPP Sans Light"/>
          <w:i/>
          <w:iCs/>
          <w:szCs w:val="24"/>
          <w:lang w:val="cs-CZ"/>
        </w:rPr>
        <w:t xml:space="preserve">naši zákazníci </w:t>
      </w:r>
      <w:r w:rsidR="008E217A" w:rsidRPr="008E217A">
        <w:rPr>
          <w:rFonts w:ascii="BNPP Sans Light" w:hAnsi="BNPP Sans Light"/>
          <w:i/>
          <w:iCs/>
          <w:szCs w:val="24"/>
          <w:lang w:val="cs-CZ"/>
        </w:rPr>
        <w:t>využít</w:t>
      </w:r>
      <w:r w:rsidR="002413BB">
        <w:rPr>
          <w:rFonts w:ascii="BNPP Sans Light" w:hAnsi="BNPP Sans Light"/>
          <w:i/>
          <w:iCs/>
          <w:szCs w:val="24"/>
          <w:lang w:val="cs-CZ"/>
        </w:rPr>
        <w:t xml:space="preserve"> v rámci produktu i</w:t>
      </w:r>
      <w:r w:rsidR="00CF3D3D">
        <w:rPr>
          <w:rFonts w:ascii="Calibri" w:hAnsi="Calibri" w:cs="Calibri"/>
          <w:i/>
          <w:iCs/>
          <w:szCs w:val="24"/>
          <w:lang w:val="cs-CZ"/>
        </w:rPr>
        <w:t> </w:t>
      </w:r>
      <w:r w:rsidR="008E217A" w:rsidRPr="008E217A">
        <w:rPr>
          <w:rFonts w:ascii="BNPP Sans Light" w:hAnsi="BNPP Sans Light"/>
          <w:i/>
          <w:iCs/>
          <w:szCs w:val="24"/>
          <w:lang w:val="cs-CZ"/>
        </w:rPr>
        <w:t>pojištění odpovědnosti</w:t>
      </w:r>
      <w:r w:rsidR="00470958">
        <w:rPr>
          <w:rFonts w:ascii="BNPP Sans Light" w:hAnsi="BNPP Sans Light"/>
          <w:i/>
          <w:iCs/>
          <w:szCs w:val="24"/>
          <w:lang w:val="cs-CZ"/>
        </w:rPr>
        <w:t xml:space="preserve">, které </w:t>
      </w:r>
      <w:r w:rsidR="00BC4277">
        <w:rPr>
          <w:rFonts w:ascii="BNPP Sans Light" w:hAnsi="BNPP Sans Light"/>
          <w:i/>
          <w:iCs/>
          <w:szCs w:val="24"/>
          <w:lang w:val="cs-CZ"/>
        </w:rPr>
        <w:t>kryje škody způsobené druhý</w:t>
      </w:r>
      <w:r w:rsidR="00CF3D3D">
        <w:rPr>
          <w:rFonts w:ascii="BNPP Sans Light" w:hAnsi="BNPP Sans Light"/>
          <w:i/>
          <w:iCs/>
          <w:szCs w:val="24"/>
          <w:lang w:val="cs-CZ"/>
        </w:rPr>
        <w:t>m</w:t>
      </w:r>
      <w:r w:rsidR="00BC4277">
        <w:rPr>
          <w:rFonts w:ascii="BNPP Sans Light" w:hAnsi="BNPP Sans Light"/>
          <w:i/>
          <w:iCs/>
          <w:szCs w:val="24"/>
          <w:lang w:val="cs-CZ"/>
        </w:rPr>
        <w:t xml:space="preserve"> osobá</w:t>
      </w:r>
      <w:r w:rsidR="00CF3D3D">
        <w:rPr>
          <w:rFonts w:ascii="BNPP Sans Light" w:hAnsi="BNPP Sans Light"/>
          <w:i/>
          <w:iCs/>
          <w:szCs w:val="24"/>
          <w:lang w:val="cs-CZ"/>
        </w:rPr>
        <w:t>m</w:t>
      </w:r>
      <w:r w:rsidR="00BC4277">
        <w:rPr>
          <w:rFonts w:ascii="BNPP Sans Light" w:hAnsi="BNPP Sans Light"/>
          <w:i/>
          <w:iCs/>
          <w:szCs w:val="24"/>
          <w:lang w:val="cs-CZ"/>
        </w:rPr>
        <w:t xml:space="preserve"> a vztahuje se na</w:t>
      </w:r>
      <w:r w:rsidR="00A375BB">
        <w:rPr>
          <w:rFonts w:ascii="BNPP Sans Light" w:hAnsi="BNPP Sans Light"/>
          <w:i/>
          <w:iCs/>
          <w:szCs w:val="24"/>
          <w:lang w:val="cs-CZ"/>
        </w:rPr>
        <w:t xml:space="preserve"> škodu způsobenou pojištěným, členy </w:t>
      </w:r>
      <w:r w:rsidR="00AC2DFB">
        <w:rPr>
          <w:rFonts w:ascii="BNPP Sans Light" w:hAnsi="BNPP Sans Light"/>
          <w:i/>
          <w:iCs/>
          <w:szCs w:val="24"/>
          <w:lang w:val="cs-CZ"/>
        </w:rPr>
        <w:t xml:space="preserve">jeho </w:t>
      </w:r>
      <w:r w:rsidR="00A375BB">
        <w:rPr>
          <w:rFonts w:ascii="BNPP Sans Light" w:hAnsi="BNPP Sans Light"/>
          <w:i/>
          <w:iCs/>
          <w:szCs w:val="24"/>
          <w:lang w:val="cs-CZ"/>
        </w:rPr>
        <w:t xml:space="preserve">domácnosti nebo </w:t>
      </w:r>
      <w:r w:rsidR="00BC4277">
        <w:rPr>
          <w:rFonts w:ascii="BNPP Sans Light" w:hAnsi="BNPP Sans Light"/>
          <w:i/>
          <w:iCs/>
          <w:szCs w:val="24"/>
          <w:lang w:val="cs-CZ"/>
        </w:rPr>
        <w:t>domácí</w:t>
      </w:r>
      <w:r w:rsidR="00A375BB">
        <w:rPr>
          <w:rFonts w:ascii="BNPP Sans Light" w:hAnsi="BNPP Sans Light"/>
          <w:i/>
          <w:iCs/>
          <w:szCs w:val="24"/>
          <w:lang w:val="cs-CZ"/>
        </w:rPr>
        <w:t>mi</w:t>
      </w:r>
      <w:r w:rsidR="00BC4277">
        <w:rPr>
          <w:rFonts w:ascii="BNPP Sans Light" w:hAnsi="BNPP Sans Light"/>
          <w:i/>
          <w:iCs/>
          <w:szCs w:val="24"/>
          <w:lang w:val="cs-CZ"/>
        </w:rPr>
        <w:t xml:space="preserve"> mazlíčky</w:t>
      </w:r>
      <w:r w:rsidR="008E217A">
        <w:rPr>
          <w:rFonts w:ascii="BNPP Sans Light" w:hAnsi="BNPP Sans Light"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>“</w:t>
      </w:r>
      <w:r w:rsidR="008E217A">
        <w:rPr>
          <w:rFonts w:ascii="BNPP Sans Light" w:hAnsi="BNPP Sans Light"/>
          <w:szCs w:val="24"/>
          <w:lang w:val="cs-CZ"/>
        </w:rPr>
        <w:t xml:space="preserve"> popisuje</w:t>
      </w:r>
      <w:r w:rsidR="0092697D">
        <w:rPr>
          <w:rFonts w:ascii="BNPP Sans Light" w:hAnsi="BNPP Sans Light"/>
          <w:szCs w:val="24"/>
          <w:lang w:val="cs-CZ"/>
        </w:rPr>
        <w:t xml:space="preserve"> </w:t>
      </w:r>
      <w:r w:rsidR="0092697D" w:rsidRPr="0092697D">
        <w:rPr>
          <w:rFonts w:ascii="BNPP Sans Light" w:hAnsi="BNPP Sans Light"/>
          <w:szCs w:val="24"/>
          <w:lang w:val="cs-CZ"/>
        </w:rPr>
        <w:t xml:space="preserve">produktová manažerka </w:t>
      </w:r>
      <w:proofErr w:type="spellStart"/>
      <w:r w:rsidR="0092697D">
        <w:rPr>
          <w:rFonts w:ascii="BNPP Sans Light" w:hAnsi="BNPP Sans Light"/>
          <w:szCs w:val="24"/>
          <w:lang w:val="cs-CZ"/>
        </w:rPr>
        <w:t>innogy</w:t>
      </w:r>
      <w:proofErr w:type="spellEnd"/>
      <w:r w:rsidR="00D2112C">
        <w:rPr>
          <w:rFonts w:ascii="BNPP Sans Light" w:hAnsi="BNPP Sans Light"/>
          <w:szCs w:val="24"/>
          <w:lang w:val="cs-CZ"/>
        </w:rPr>
        <w:t xml:space="preserve"> Energie</w:t>
      </w:r>
      <w:r w:rsidR="0092697D">
        <w:rPr>
          <w:rFonts w:ascii="BNPP Sans Light" w:hAnsi="BNPP Sans Light"/>
          <w:szCs w:val="24"/>
          <w:lang w:val="cs-CZ"/>
        </w:rPr>
        <w:t xml:space="preserve"> </w:t>
      </w:r>
      <w:r w:rsidR="0092697D" w:rsidRPr="0092697D">
        <w:rPr>
          <w:rFonts w:ascii="BNPP Sans Light" w:hAnsi="BNPP Sans Light"/>
          <w:szCs w:val="24"/>
          <w:lang w:val="cs-CZ"/>
        </w:rPr>
        <w:t>Martina Mrkvičková</w:t>
      </w:r>
      <w:r w:rsidR="0092697D">
        <w:rPr>
          <w:rFonts w:ascii="BNPP Sans Light" w:hAnsi="BNPP Sans Light"/>
          <w:szCs w:val="24"/>
          <w:lang w:val="cs-CZ"/>
        </w:rPr>
        <w:t xml:space="preserve">. </w:t>
      </w:r>
      <w:r w:rsidR="00704592">
        <w:rPr>
          <w:rFonts w:ascii="BNPP Sans Light" w:hAnsi="BNPP Sans Light"/>
          <w:szCs w:val="24"/>
          <w:lang w:val="cs-CZ"/>
        </w:rPr>
        <w:t xml:space="preserve">Úhrada za </w:t>
      </w:r>
      <w:r w:rsidR="00734DF7">
        <w:rPr>
          <w:rFonts w:ascii="BNPP Sans Light" w:hAnsi="BNPP Sans Light"/>
          <w:szCs w:val="24"/>
          <w:lang w:val="cs-CZ"/>
        </w:rPr>
        <w:t xml:space="preserve">pojištění </w:t>
      </w:r>
      <w:r w:rsidR="00734DF7" w:rsidRPr="00EF0379">
        <w:rPr>
          <w:rFonts w:ascii="BNPP Sans Light" w:hAnsi="BNPP Sans Light"/>
          <w:szCs w:val="24"/>
          <w:lang w:val="cs-CZ"/>
        </w:rPr>
        <w:t xml:space="preserve">probíhá automaticky </w:t>
      </w:r>
      <w:r w:rsidR="00E93B8D">
        <w:rPr>
          <w:rFonts w:ascii="BNPP Sans Light" w:hAnsi="BNPP Sans Light"/>
          <w:szCs w:val="24"/>
          <w:lang w:val="cs-CZ"/>
        </w:rPr>
        <w:t>společně se zálohami</w:t>
      </w:r>
      <w:r w:rsidR="00734DF7" w:rsidRPr="00EF0379">
        <w:rPr>
          <w:rFonts w:ascii="BNPP Sans Light" w:hAnsi="BNPP Sans Light"/>
          <w:szCs w:val="24"/>
          <w:lang w:val="cs-CZ"/>
        </w:rPr>
        <w:t xml:space="preserve"> na dodávky elektřiny nebo plynu.</w:t>
      </w:r>
    </w:p>
    <w:p w14:paraId="15361005" w14:textId="77777777" w:rsidR="00EF0379" w:rsidRDefault="00EF0379" w:rsidP="008E316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A1B9B42" w14:textId="434BD9DA" w:rsidR="00D229F1" w:rsidRDefault="009C34C1" w:rsidP="000E0214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Zákazníci si mohou vybrat </w:t>
      </w:r>
      <w:r w:rsidR="00D2112C">
        <w:rPr>
          <w:rFonts w:ascii="BNPP Sans Light" w:hAnsi="BNPP Sans Light"/>
          <w:szCs w:val="24"/>
          <w:lang w:val="cs-CZ"/>
        </w:rPr>
        <w:t xml:space="preserve">ze </w:t>
      </w:r>
      <w:r>
        <w:rPr>
          <w:rFonts w:ascii="BNPP Sans Light" w:hAnsi="BNPP Sans Light"/>
          <w:szCs w:val="24"/>
          <w:lang w:val="cs-CZ"/>
        </w:rPr>
        <w:t>tř</w:t>
      </w:r>
      <w:r w:rsidR="00D2112C">
        <w:rPr>
          <w:rFonts w:ascii="BNPP Sans Light" w:hAnsi="BNPP Sans Light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 variant pojištění</w:t>
      </w:r>
      <w:r w:rsidR="008E217A">
        <w:rPr>
          <w:rFonts w:ascii="BNPP Sans Light" w:hAnsi="BNPP Sans Light"/>
          <w:szCs w:val="24"/>
          <w:lang w:val="cs-CZ"/>
        </w:rPr>
        <w:t xml:space="preserve">. </w:t>
      </w:r>
      <w:r w:rsidR="00A42C20">
        <w:rPr>
          <w:rFonts w:ascii="BNPP Sans Light" w:hAnsi="BNPP Sans Light"/>
          <w:szCs w:val="24"/>
          <w:lang w:val="cs-CZ"/>
        </w:rPr>
        <w:t>B</w:t>
      </w:r>
      <w:r>
        <w:rPr>
          <w:rFonts w:ascii="BNPP Sans Light" w:hAnsi="BNPP Sans Light"/>
          <w:szCs w:val="24"/>
          <w:lang w:val="cs-CZ"/>
        </w:rPr>
        <w:t>alíček</w:t>
      </w:r>
      <w:r w:rsidR="008E217A">
        <w:rPr>
          <w:rFonts w:ascii="BNPP Sans Light" w:hAnsi="BNPP Sans Light"/>
          <w:szCs w:val="24"/>
          <w:lang w:val="cs-CZ"/>
        </w:rPr>
        <w:t xml:space="preserve"> Klasik </w:t>
      </w:r>
      <w:r w:rsidR="001672D8">
        <w:rPr>
          <w:rFonts w:ascii="BNPP Sans Light" w:hAnsi="BNPP Sans Light"/>
          <w:szCs w:val="24"/>
          <w:lang w:val="cs-CZ"/>
        </w:rPr>
        <w:t xml:space="preserve">zahrnuje </w:t>
      </w:r>
      <w:r w:rsidR="008E217A">
        <w:rPr>
          <w:rFonts w:ascii="BNPP Sans Light" w:hAnsi="BNPP Sans Light"/>
          <w:szCs w:val="24"/>
          <w:lang w:val="cs-CZ"/>
        </w:rPr>
        <w:t>pojištění domácnosti s limitem plnění škody ve výši 750 000 Kč, pojištění odpovědnosti s limitem 5 000 000 Kč a</w:t>
      </w:r>
      <w:r w:rsidR="00704592">
        <w:rPr>
          <w:rFonts w:ascii="Calibri" w:hAnsi="Calibri" w:cs="Calibri"/>
          <w:szCs w:val="24"/>
          <w:lang w:val="cs-CZ"/>
        </w:rPr>
        <w:t> </w:t>
      </w:r>
      <w:r w:rsidR="008E217A">
        <w:rPr>
          <w:rFonts w:ascii="BNPP Sans Light" w:hAnsi="BNPP Sans Light"/>
          <w:szCs w:val="24"/>
          <w:lang w:val="cs-CZ"/>
        </w:rPr>
        <w:t xml:space="preserve">asistenční služby, které </w:t>
      </w:r>
      <w:r w:rsidR="00DC5D61">
        <w:rPr>
          <w:rFonts w:ascii="BNPP Sans Light" w:hAnsi="BNPP Sans Light"/>
          <w:szCs w:val="24"/>
          <w:lang w:val="cs-CZ"/>
        </w:rPr>
        <w:t xml:space="preserve">v případě havárie nebo zabouchnutých dveří </w:t>
      </w:r>
      <w:r w:rsidR="008E217A">
        <w:rPr>
          <w:rFonts w:ascii="BNPP Sans Light" w:hAnsi="BNPP Sans Light"/>
          <w:szCs w:val="24"/>
          <w:lang w:val="cs-CZ"/>
        </w:rPr>
        <w:t>poskytují okamžitou pomoc 24 hodin denně.</w:t>
      </w:r>
      <w:r w:rsidR="00734DF7">
        <w:rPr>
          <w:rFonts w:ascii="BNPP Sans Light" w:hAnsi="BNPP Sans Light"/>
          <w:szCs w:val="24"/>
          <w:lang w:val="cs-CZ"/>
        </w:rPr>
        <w:t xml:space="preserve"> „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Značně </w:t>
      </w:r>
      <w:r w:rsidR="00734DF7">
        <w:rPr>
          <w:rFonts w:ascii="BNPP Sans Light" w:hAnsi="BNPP Sans Light"/>
          <w:i/>
          <w:iCs/>
          <w:szCs w:val="24"/>
          <w:lang w:val="cs-CZ"/>
        </w:rPr>
        <w:t>jsme rozšířili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 asistence,</w:t>
      </w:r>
      <w:r w:rsidR="00734DF7">
        <w:rPr>
          <w:rFonts w:ascii="BNPP Sans Light" w:hAnsi="BNPP Sans Light"/>
          <w:i/>
          <w:iCs/>
          <w:szCs w:val="24"/>
          <w:lang w:val="cs-CZ"/>
        </w:rPr>
        <w:t xml:space="preserve"> ty totiž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 krom</w:t>
      </w:r>
      <w:r w:rsidR="00734DF7">
        <w:rPr>
          <w:rFonts w:ascii="BNPP Sans Light" w:hAnsi="BNPP Sans Light"/>
          <w:i/>
          <w:iCs/>
          <w:szCs w:val="24"/>
          <w:lang w:val="cs-CZ"/>
        </w:rPr>
        <w:t>ě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 vyššího limitu nově </w:t>
      </w:r>
      <w:r w:rsidR="002D3230" w:rsidRPr="00734DF7">
        <w:rPr>
          <w:rFonts w:ascii="BNPP Sans Light" w:hAnsi="BNPP Sans Light"/>
          <w:i/>
          <w:iCs/>
          <w:szCs w:val="24"/>
          <w:lang w:val="cs-CZ"/>
        </w:rPr>
        <w:t>zahrnují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 i</w:t>
      </w:r>
      <w:r w:rsidR="00704592">
        <w:rPr>
          <w:rFonts w:ascii="Calibri" w:hAnsi="Calibri" w:cs="Calibri"/>
          <w:i/>
          <w:iCs/>
          <w:szCs w:val="24"/>
          <w:lang w:val="cs-CZ"/>
        </w:rPr>
        <w:t> </w:t>
      </w:r>
      <w:r w:rsidR="00704592">
        <w:rPr>
          <w:rFonts w:ascii="BNPP Sans Light" w:hAnsi="BNPP Sans Light"/>
          <w:i/>
          <w:iCs/>
          <w:szCs w:val="24"/>
          <w:lang w:val="cs-CZ"/>
        </w:rPr>
        <w:t xml:space="preserve">odstranění 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škůdců, </w:t>
      </w:r>
      <w:r w:rsidR="00D217A2">
        <w:rPr>
          <w:rFonts w:ascii="BNPP Sans Light" w:hAnsi="BNPP Sans Light"/>
          <w:i/>
          <w:iCs/>
          <w:szCs w:val="24"/>
          <w:lang w:val="cs-CZ"/>
        </w:rPr>
        <w:t xml:space="preserve">drobné 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opravy </w:t>
      </w:r>
      <w:r w:rsidR="00704592">
        <w:rPr>
          <w:rFonts w:ascii="BNPP Sans Light" w:hAnsi="BNPP Sans Light"/>
          <w:i/>
          <w:iCs/>
          <w:szCs w:val="24"/>
          <w:lang w:val="cs-CZ"/>
        </w:rPr>
        <w:t xml:space="preserve">porouchaných 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 xml:space="preserve">spotřebičů a </w:t>
      </w:r>
      <w:r w:rsidR="00704592">
        <w:rPr>
          <w:rFonts w:ascii="BNPP Sans Light" w:hAnsi="BNPP Sans Light"/>
          <w:i/>
          <w:iCs/>
          <w:szCs w:val="24"/>
          <w:lang w:val="cs-CZ"/>
        </w:rPr>
        <w:t xml:space="preserve">služby </w:t>
      </w:r>
      <w:r w:rsidR="00734DF7" w:rsidRPr="00734DF7">
        <w:rPr>
          <w:rFonts w:ascii="BNPP Sans Light" w:hAnsi="BNPP Sans Light"/>
          <w:i/>
          <w:iCs/>
          <w:szCs w:val="24"/>
          <w:lang w:val="cs-CZ"/>
        </w:rPr>
        <w:t>hodinového manžela</w:t>
      </w:r>
      <w:r w:rsidR="00D229F1">
        <w:rPr>
          <w:rFonts w:ascii="BNPP Sans Light" w:hAnsi="BNPP Sans Light"/>
          <w:i/>
          <w:iCs/>
          <w:szCs w:val="24"/>
          <w:lang w:val="cs-CZ"/>
        </w:rPr>
        <w:t>,</w:t>
      </w:r>
      <w:r w:rsidR="00734DF7">
        <w:rPr>
          <w:rFonts w:ascii="BNPP Sans Light" w:hAnsi="BNPP Sans Light"/>
          <w:szCs w:val="24"/>
          <w:lang w:val="cs-CZ"/>
        </w:rPr>
        <w:t xml:space="preserve">“ popisuje obchodní ředitel BNP Paribas </w:t>
      </w:r>
      <w:proofErr w:type="spellStart"/>
      <w:r w:rsidR="00734DF7">
        <w:rPr>
          <w:rFonts w:ascii="BNPP Sans Light" w:hAnsi="BNPP Sans Light"/>
          <w:szCs w:val="24"/>
          <w:lang w:val="cs-CZ"/>
        </w:rPr>
        <w:t>Cardif</w:t>
      </w:r>
      <w:proofErr w:type="spellEnd"/>
      <w:r w:rsidR="00734DF7">
        <w:rPr>
          <w:rFonts w:ascii="BNPP Sans Light" w:hAnsi="BNPP Sans Light"/>
          <w:szCs w:val="24"/>
          <w:lang w:val="cs-CZ"/>
        </w:rPr>
        <w:t xml:space="preserve"> Pojišťovny Martin Steiner</w:t>
      </w:r>
      <w:r w:rsidR="001672D8">
        <w:rPr>
          <w:rFonts w:ascii="BNPP Sans Light" w:hAnsi="BNPP Sans Light"/>
          <w:szCs w:val="24"/>
          <w:lang w:val="cs-CZ"/>
        </w:rPr>
        <w:t xml:space="preserve">. </w:t>
      </w:r>
    </w:p>
    <w:p w14:paraId="019E6B45" w14:textId="77777777" w:rsidR="00D229F1" w:rsidRDefault="00D229F1" w:rsidP="000E0214">
      <w:pPr>
        <w:rPr>
          <w:rFonts w:ascii="BNPP Sans Light" w:hAnsi="BNPP Sans Light"/>
          <w:szCs w:val="24"/>
          <w:lang w:val="cs-CZ"/>
        </w:rPr>
      </w:pPr>
    </w:p>
    <w:p w14:paraId="27F58B07" w14:textId="789682C2" w:rsidR="00D229F1" w:rsidRDefault="001672D8" w:rsidP="000E0214">
      <w:pPr>
        <w:rPr>
          <w:rFonts w:ascii="BNPP Sans Light" w:hAnsi="BNPP Sans Light"/>
          <w:szCs w:val="24"/>
          <w:lang w:val="cs-CZ"/>
        </w:rPr>
      </w:pPr>
      <w:r w:rsidRPr="00753780">
        <w:rPr>
          <w:rFonts w:ascii="BNPP Sans Light" w:hAnsi="BNPP Sans Light"/>
          <w:szCs w:val="24"/>
          <w:lang w:val="cs-CZ"/>
        </w:rPr>
        <w:t xml:space="preserve">Balíček Garant k těmto základním výhodám </w:t>
      </w:r>
      <w:r w:rsidR="00031287" w:rsidRPr="00753780">
        <w:rPr>
          <w:rFonts w:ascii="BNPP Sans Light" w:hAnsi="BNPP Sans Light"/>
          <w:szCs w:val="24"/>
          <w:lang w:val="cs-CZ"/>
        </w:rPr>
        <w:t>přidává</w:t>
      </w:r>
      <w:r w:rsidR="00AC2DFB">
        <w:rPr>
          <w:rFonts w:ascii="BNPP Sans Light" w:hAnsi="BNPP Sans Light"/>
          <w:szCs w:val="24"/>
          <w:lang w:val="cs-CZ"/>
        </w:rPr>
        <w:t xml:space="preserve"> úhradu náhradních dílů při poškození </w:t>
      </w:r>
      <w:r w:rsidRPr="00753780">
        <w:rPr>
          <w:rFonts w:ascii="BNPP Sans Light" w:hAnsi="BNPP Sans Light"/>
          <w:szCs w:val="24"/>
          <w:lang w:val="cs-CZ"/>
        </w:rPr>
        <w:t>spotřebiče až do 10 let stáří.</w:t>
      </w:r>
      <w:r w:rsidR="00734DF7">
        <w:rPr>
          <w:rFonts w:ascii="BNPP Sans Light" w:hAnsi="BNPP Sans Light"/>
          <w:szCs w:val="24"/>
          <w:lang w:val="cs-CZ"/>
        </w:rPr>
        <w:t xml:space="preserve"> „</w:t>
      </w:r>
      <w:r w:rsidRPr="00753780">
        <w:rPr>
          <w:rFonts w:ascii="BNPP Sans Light" w:hAnsi="BNPP Sans Light"/>
          <w:i/>
          <w:iCs/>
          <w:szCs w:val="24"/>
          <w:lang w:val="cs-CZ"/>
        </w:rPr>
        <w:t>Tento benefit ocení zejména ti, kteří chtějí ochránit své domácí spotřebiče nad rámec standardní záruky a vyhnout se neočekávaným nákladům na opravy</w:t>
      </w:r>
      <w:r w:rsidR="00D229F1">
        <w:rPr>
          <w:rFonts w:ascii="BNPP Sans Light" w:hAnsi="BNPP Sans Light"/>
          <w:i/>
          <w:iCs/>
          <w:szCs w:val="24"/>
          <w:lang w:val="cs-CZ"/>
        </w:rPr>
        <w:t>,</w:t>
      </w:r>
      <w:r>
        <w:rPr>
          <w:rFonts w:ascii="BNPP Sans Light" w:hAnsi="BNPP Sans Light"/>
          <w:i/>
          <w:iCs/>
          <w:szCs w:val="24"/>
          <w:lang w:val="cs-CZ"/>
        </w:rPr>
        <w:t xml:space="preserve">“ </w:t>
      </w:r>
      <w:r w:rsidRPr="00753780">
        <w:rPr>
          <w:rFonts w:ascii="BNPP Sans Light" w:hAnsi="BNPP Sans Light"/>
          <w:szCs w:val="24"/>
          <w:lang w:val="cs-CZ"/>
        </w:rPr>
        <w:t>doplňuje Steiner</w:t>
      </w:r>
      <w:r w:rsidRPr="00753780">
        <w:rPr>
          <w:lang w:val="cs-CZ"/>
        </w:rPr>
        <w:t xml:space="preserve"> </w:t>
      </w:r>
      <w:r w:rsidRPr="00753780">
        <w:rPr>
          <w:rFonts w:ascii="BNPP Sans Light" w:hAnsi="BNPP Sans Light"/>
          <w:szCs w:val="24"/>
          <w:lang w:val="cs-CZ"/>
        </w:rPr>
        <w:t>a dodává</w:t>
      </w:r>
      <w:r>
        <w:rPr>
          <w:rFonts w:ascii="BNPP Sans Light" w:hAnsi="BNPP Sans Light"/>
          <w:szCs w:val="24"/>
          <w:lang w:val="cs-CZ"/>
        </w:rPr>
        <w:t xml:space="preserve">: </w:t>
      </w:r>
      <w:r w:rsidR="000E0214" w:rsidRPr="00D229F1">
        <w:rPr>
          <w:rFonts w:ascii="BNPP Sans Light" w:hAnsi="BNPP Sans Light"/>
          <w:i/>
          <w:iCs/>
          <w:szCs w:val="24"/>
          <w:lang w:val="cs-CZ"/>
        </w:rPr>
        <w:t xml:space="preserve">„Zároveň jsme navýšili většinu limitů a </w:t>
      </w:r>
      <w:proofErr w:type="spellStart"/>
      <w:r w:rsidR="000E0214" w:rsidRPr="00D229F1">
        <w:rPr>
          <w:rFonts w:ascii="BNPP Sans Light" w:hAnsi="BNPP Sans Light"/>
          <w:i/>
          <w:iCs/>
          <w:szCs w:val="24"/>
          <w:lang w:val="cs-CZ"/>
        </w:rPr>
        <w:t>sublimitů</w:t>
      </w:r>
      <w:proofErr w:type="spellEnd"/>
      <w:r w:rsidR="00DC5D61">
        <w:rPr>
          <w:rFonts w:ascii="BNPP Sans Light" w:hAnsi="BNPP Sans Light"/>
          <w:i/>
          <w:iCs/>
          <w:szCs w:val="24"/>
          <w:lang w:val="cs-CZ"/>
        </w:rPr>
        <w:t xml:space="preserve">, jejichž počet jsme </w:t>
      </w:r>
      <w:r w:rsidR="000E0214" w:rsidRPr="00D229F1">
        <w:rPr>
          <w:rFonts w:ascii="BNPP Sans Light" w:hAnsi="BNPP Sans Light"/>
          <w:i/>
          <w:iCs/>
          <w:szCs w:val="24"/>
          <w:lang w:val="cs-CZ"/>
        </w:rPr>
        <w:t>pro přehlednost redukovali. Pojištění odpovědnosti využijí klienti po celém světě, kromě vyjmenovaných rizikových oblastí</w:t>
      </w:r>
      <w:r w:rsidR="00734DF7">
        <w:rPr>
          <w:rFonts w:ascii="BNPP Sans Light" w:hAnsi="BNPP Sans Light"/>
          <w:i/>
          <w:iCs/>
          <w:szCs w:val="24"/>
          <w:lang w:val="cs-CZ"/>
        </w:rPr>
        <w:t>.“</w:t>
      </w:r>
      <w:r w:rsidR="00734DF7" w:rsidRPr="00734DF7">
        <w:rPr>
          <w:rFonts w:ascii="BNPP Sans Light" w:hAnsi="BNPP Sans Light"/>
          <w:szCs w:val="24"/>
          <w:lang w:val="cs-CZ"/>
        </w:rPr>
        <w:t xml:space="preserve"> </w:t>
      </w:r>
    </w:p>
    <w:p w14:paraId="3E16440F" w14:textId="77777777" w:rsidR="00D229F1" w:rsidRDefault="00D229F1" w:rsidP="000E0214">
      <w:pPr>
        <w:rPr>
          <w:rFonts w:ascii="BNPP Sans Light" w:hAnsi="BNPP Sans Light"/>
          <w:szCs w:val="24"/>
          <w:lang w:val="cs-CZ"/>
        </w:rPr>
      </w:pPr>
    </w:p>
    <w:p w14:paraId="2145ECCB" w14:textId="5F0F288C" w:rsidR="00753780" w:rsidRPr="00171B10" w:rsidRDefault="001672D8" w:rsidP="001672D8">
      <w:pPr>
        <w:rPr>
          <w:rFonts w:ascii="BNPP Sans Light" w:hAnsi="BNPP Sans Light"/>
          <w:szCs w:val="24"/>
          <w:lang w:val="cs-CZ"/>
        </w:rPr>
      </w:pPr>
      <w:r w:rsidRPr="00753780">
        <w:rPr>
          <w:rFonts w:ascii="BNPP Sans Light" w:hAnsi="BNPP Sans Light"/>
          <w:szCs w:val="24"/>
          <w:lang w:val="cs-CZ"/>
        </w:rPr>
        <w:t>Nejvyšší varianta balíčku pojištění</w:t>
      </w:r>
      <w:r w:rsidR="00DC5D61">
        <w:rPr>
          <w:rFonts w:ascii="BNPP Sans Light" w:hAnsi="BNPP Sans Light"/>
          <w:szCs w:val="24"/>
          <w:lang w:val="cs-CZ"/>
        </w:rPr>
        <w:t>,</w:t>
      </w:r>
      <w:r w:rsidRPr="00753780">
        <w:rPr>
          <w:rFonts w:ascii="BNPP Sans Light" w:hAnsi="BNPP Sans Light"/>
          <w:szCs w:val="24"/>
          <w:lang w:val="cs-CZ"/>
        </w:rPr>
        <w:t xml:space="preserve"> </w:t>
      </w:r>
      <w:proofErr w:type="spellStart"/>
      <w:r w:rsidR="00D229F1" w:rsidRPr="00753780">
        <w:rPr>
          <w:rFonts w:ascii="BNPP Sans Light" w:hAnsi="BNPP Sans Light"/>
          <w:szCs w:val="24"/>
          <w:lang w:val="cs-CZ"/>
        </w:rPr>
        <w:t>Exkluziv</w:t>
      </w:r>
      <w:proofErr w:type="spellEnd"/>
      <w:r w:rsidR="00DC5D61">
        <w:rPr>
          <w:rFonts w:ascii="BNPP Sans Light" w:hAnsi="BNPP Sans Light"/>
          <w:szCs w:val="24"/>
          <w:lang w:val="cs-CZ"/>
        </w:rPr>
        <w:t>,</w:t>
      </w:r>
      <w:r w:rsidR="00D229F1" w:rsidRPr="00753780">
        <w:rPr>
          <w:rFonts w:ascii="BNPP Sans Light" w:hAnsi="BNPP Sans Light"/>
          <w:szCs w:val="24"/>
          <w:lang w:val="cs-CZ"/>
        </w:rPr>
        <w:t xml:space="preserve"> navíc</w:t>
      </w:r>
      <w:r w:rsidRPr="00753780">
        <w:rPr>
          <w:rFonts w:ascii="BNPP Sans Light" w:hAnsi="BNPP Sans Light"/>
          <w:szCs w:val="24"/>
          <w:lang w:val="cs-CZ"/>
        </w:rPr>
        <w:t xml:space="preserve"> zahrnuje komplexní ochranu proti internetovým rizikům, kter</w:t>
      </w:r>
      <w:r w:rsidR="00324854">
        <w:rPr>
          <w:rFonts w:ascii="BNPP Sans Light" w:hAnsi="BNPP Sans Light"/>
          <w:szCs w:val="24"/>
          <w:lang w:val="cs-CZ"/>
        </w:rPr>
        <w:t>á</w:t>
      </w:r>
      <w:r w:rsidRPr="00753780">
        <w:rPr>
          <w:rFonts w:ascii="BNPP Sans Light" w:hAnsi="BNPP Sans Light"/>
          <w:szCs w:val="24"/>
          <w:lang w:val="cs-CZ"/>
        </w:rPr>
        <w:t xml:space="preserve"> jsou v dnešní době stále častější hrozbou. Pojištění kryje</w:t>
      </w:r>
      <w:r w:rsidR="003F1679">
        <w:rPr>
          <w:rFonts w:ascii="BNPP Sans Light" w:hAnsi="BNPP Sans Light"/>
          <w:szCs w:val="24"/>
          <w:lang w:val="cs-CZ"/>
        </w:rPr>
        <w:t xml:space="preserve"> </w:t>
      </w:r>
      <w:r w:rsidR="003F1679" w:rsidRPr="00171B10">
        <w:rPr>
          <w:rFonts w:ascii="BNPP Sans Light" w:hAnsi="BNPP Sans Light"/>
          <w:color w:val="000000" w:themeColor="text1"/>
          <w:szCs w:val="24"/>
          <w:lang w:val="cs-CZ"/>
        </w:rPr>
        <w:t>případné kybernetické útoky</w:t>
      </w:r>
      <w:r w:rsidR="00171B10" w:rsidRPr="00171B10">
        <w:rPr>
          <w:rStyle w:val="Odkaznakoment"/>
          <w:color w:val="000000" w:themeColor="text1"/>
          <w:lang w:val="cs-CZ"/>
        </w:rPr>
        <w:t xml:space="preserve"> </w:t>
      </w:r>
      <w:r w:rsidRPr="00753780">
        <w:rPr>
          <w:rFonts w:ascii="BNPP Sans Light" w:hAnsi="BNPP Sans Light"/>
          <w:szCs w:val="24"/>
          <w:lang w:val="cs-CZ"/>
        </w:rPr>
        <w:t xml:space="preserve">a také nákupy na internetu, a to včetně </w:t>
      </w:r>
      <w:r w:rsidR="001D5996">
        <w:rPr>
          <w:rFonts w:ascii="BNPP Sans Light" w:hAnsi="BNPP Sans Light"/>
          <w:szCs w:val="24"/>
          <w:lang w:val="cs-CZ"/>
        </w:rPr>
        <w:t xml:space="preserve">těch </w:t>
      </w:r>
      <w:r w:rsidRPr="00753780">
        <w:rPr>
          <w:rFonts w:ascii="BNPP Sans Light" w:hAnsi="BNPP Sans Light"/>
          <w:szCs w:val="24"/>
          <w:lang w:val="cs-CZ"/>
        </w:rPr>
        <w:t xml:space="preserve">z druhé ruky na platformách jako </w:t>
      </w:r>
      <w:proofErr w:type="spellStart"/>
      <w:r w:rsidRPr="00753780">
        <w:rPr>
          <w:rFonts w:ascii="BNPP Sans Light" w:hAnsi="BNPP Sans Light"/>
          <w:szCs w:val="24"/>
          <w:lang w:val="cs-CZ"/>
        </w:rPr>
        <w:t>Bazoš</w:t>
      </w:r>
      <w:proofErr w:type="spellEnd"/>
      <w:r w:rsidRPr="00753780">
        <w:rPr>
          <w:rFonts w:ascii="BNPP Sans Light" w:hAnsi="BNPP Sans Light"/>
          <w:szCs w:val="24"/>
          <w:lang w:val="cs-CZ"/>
        </w:rPr>
        <w:t xml:space="preserve"> nebo Marketplace</w:t>
      </w:r>
      <w:r w:rsidRPr="00753780">
        <w:rPr>
          <w:lang w:val="cs-CZ"/>
        </w:rPr>
        <w:t>.</w:t>
      </w:r>
      <w:r w:rsidR="00D229F1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D229F1">
        <w:rPr>
          <w:rFonts w:ascii="BNPP Sans Light" w:hAnsi="BNPP Sans Light"/>
          <w:i/>
          <w:iCs/>
          <w:szCs w:val="24"/>
          <w:lang w:val="cs-CZ"/>
        </w:rPr>
        <w:br/>
        <w:t>„</w:t>
      </w:r>
      <w:r w:rsidR="00753780" w:rsidRPr="00AC2DFB">
        <w:rPr>
          <w:rFonts w:ascii="BNPP Sans Light" w:hAnsi="BNPP Sans Light"/>
          <w:i/>
          <w:iCs/>
          <w:szCs w:val="24"/>
          <w:lang w:val="cs-CZ"/>
        </w:rPr>
        <w:t>V dnešní digitální době si zákazníci stále více uvědomují rizika spojená s</w:t>
      </w:r>
      <w:r w:rsidR="001D5996">
        <w:rPr>
          <w:rFonts w:ascii="BNPP Sans Light" w:hAnsi="BNPP Sans Light"/>
          <w:i/>
          <w:iCs/>
          <w:szCs w:val="24"/>
          <w:lang w:val="cs-CZ"/>
        </w:rPr>
        <w:t> </w:t>
      </w:r>
      <w:r w:rsidR="00753780" w:rsidRPr="00AC2DFB">
        <w:rPr>
          <w:rFonts w:ascii="BNPP Sans Light" w:hAnsi="BNPP Sans Light"/>
          <w:i/>
          <w:iCs/>
          <w:szCs w:val="24"/>
          <w:lang w:val="cs-CZ"/>
        </w:rPr>
        <w:t>on</w:t>
      </w:r>
      <w:r w:rsidR="001D5996">
        <w:rPr>
          <w:rFonts w:ascii="BNPP Sans Light" w:hAnsi="BNPP Sans Light"/>
          <w:i/>
          <w:iCs/>
          <w:szCs w:val="24"/>
          <w:lang w:val="cs-CZ"/>
        </w:rPr>
        <w:t>-</w:t>
      </w:r>
      <w:r w:rsidR="00753780" w:rsidRPr="00AC2DFB">
        <w:rPr>
          <w:rFonts w:ascii="BNPP Sans Light" w:hAnsi="BNPP Sans Light"/>
          <w:i/>
          <w:iCs/>
          <w:szCs w:val="24"/>
          <w:lang w:val="cs-CZ"/>
        </w:rPr>
        <w:t>line nákupy a my jsme na to připraveni. Naše pojištění jim poskytuje jistotu nejen při běžném nákupu, ale i při transakcích z druhé ruky</w:t>
      </w:r>
      <w:r w:rsidR="00D229F1">
        <w:rPr>
          <w:rFonts w:ascii="BNPP Sans Light" w:hAnsi="BNPP Sans Light"/>
          <w:i/>
          <w:iCs/>
          <w:szCs w:val="24"/>
          <w:lang w:val="cs-CZ"/>
        </w:rPr>
        <w:t>,</w:t>
      </w:r>
      <w:r w:rsidR="00753780" w:rsidRPr="00171B10">
        <w:rPr>
          <w:rFonts w:ascii="BNPP Sans Light" w:hAnsi="BNPP Sans Light"/>
          <w:i/>
          <w:iCs/>
          <w:szCs w:val="24"/>
          <w:lang w:val="cs-CZ"/>
        </w:rPr>
        <w:t>“</w:t>
      </w:r>
      <w:r w:rsidR="00753780" w:rsidRPr="00171B10">
        <w:rPr>
          <w:rFonts w:ascii="BNPP Sans Light" w:hAnsi="BNPP Sans Light"/>
          <w:szCs w:val="24"/>
          <w:lang w:val="cs-CZ"/>
        </w:rPr>
        <w:t xml:space="preserve"> komentuje Martin Steiner.  </w:t>
      </w:r>
    </w:p>
    <w:p w14:paraId="32EC3291" w14:textId="77777777" w:rsidR="00753780" w:rsidRPr="00031287" w:rsidRDefault="00753780" w:rsidP="008E316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6E24735E" w14:textId="14A4E8E0" w:rsidR="00EF0379" w:rsidRDefault="00753780" w:rsidP="008E3169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753780">
        <w:rPr>
          <w:rFonts w:ascii="BNPP Sans Light" w:hAnsi="BNPP Sans Light"/>
          <w:szCs w:val="24"/>
          <w:lang w:val="cs-CZ"/>
        </w:rPr>
        <w:t>P</w:t>
      </w:r>
      <w:r w:rsidR="00EF0379" w:rsidRPr="00753780">
        <w:rPr>
          <w:rFonts w:ascii="BNPP Sans Light" w:hAnsi="BNPP Sans Light"/>
          <w:szCs w:val="24"/>
          <w:lang w:val="cs-CZ"/>
        </w:rPr>
        <w:t xml:space="preserve">ojištění </w:t>
      </w:r>
      <w:r w:rsidR="002D3230" w:rsidRPr="00753780">
        <w:rPr>
          <w:rFonts w:ascii="BNPP Sans Light" w:hAnsi="BNPP Sans Light"/>
          <w:szCs w:val="24"/>
          <w:lang w:val="cs-CZ"/>
        </w:rPr>
        <w:t xml:space="preserve">pak </w:t>
      </w:r>
      <w:r w:rsidR="00EF0379" w:rsidRPr="00753780">
        <w:rPr>
          <w:rFonts w:ascii="BNPP Sans Light" w:hAnsi="BNPP Sans Light"/>
          <w:szCs w:val="24"/>
          <w:lang w:val="cs-CZ"/>
        </w:rPr>
        <w:t xml:space="preserve">myslí i na inflaci. Pokud tedy </w:t>
      </w:r>
      <w:r w:rsidR="002D3230" w:rsidRPr="00753780">
        <w:rPr>
          <w:rFonts w:ascii="BNPP Sans Light" w:hAnsi="BNPP Sans Light"/>
          <w:szCs w:val="24"/>
          <w:lang w:val="cs-CZ"/>
        </w:rPr>
        <w:t xml:space="preserve">v pojištěné domácnosti </w:t>
      </w:r>
      <w:r w:rsidR="001D5996" w:rsidRPr="00753780">
        <w:rPr>
          <w:rFonts w:ascii="BNPP Sans Light" w:hAnsi="BNPP Sans Light"/>
          <w:szCs w:val="24"/>
          <w:lang w:val="cs-CZ"/>
        </w:rPr>
        <w:t xml:space="preserve">dojde </w:t>
      </w:r>
      <w:r w:rsidR="00EF0379" w:rsidRPr="00753780">
        <w:rPr>
          <w:rFonts w:ascii="BNPP Sans Light" w:hAnsi="BNPP Sans Light"/>
          <w:szCs w:val="24"/>
          <w:lang w:val="cs-CZ"/>
        </w:rPr>
        <w:t>k</w:t>
      </w:r>
      <w:r w:rsidR="002D3230" w:rsidRPr="00753780">
        <w:rPr>
          <w:rFonts w:ascii="BNPP Sans Light" w:hAnsi="BNPP Sans Light"/>
          <w:szCs w:val="24"/>
          <w:lang w:val="cs-CZ"/>
        </w:rPr>
        <w:t xml:space="preserve">e </w:t>
      </w:r>
      <w:r w:rsidR="00EF0379" w:rsidRPr="00753780">
        <w:rPr>
          <w:rFonts w:ascii="BNPP Sans Light" w:hAnsi="BNPP Sans Light"/>
          <w:szCs w:val="24"/>
          <w:lang w:val="cs-CZ"/>
        </w:rPr>
        <w:t xml:space="preserve">škodě, </w:t>
      </w:r>
      <w:r w:rsidR="001D5996">
        <w:rPr>
          <w:rFonts w:ascii="BNPP Sans Light" w:hAnsi="BNPP Sans Light"/>
          <w:szCs w:val="24"/>
          <w:lang w:val="cs-CZ"/>
        </w:rPr>
        <w:t xml:space="preserve">která je celkově vyčíslena na částku </w:t>
      </w:r>
      <w:r w:rsidR="00EF0379" w:rsidRPr="00753780">
        <w:rPr>
          <w:rFonts w:ascii="BNPP Sans Light" w:hAnsi="BNPP Sans Light"/>
          <w:szCs w:val="24"/>
          <w:lang w:val="cs-CZ"/>
        </w:rPr>
        <w:t>přes</w:t>
      </w:r>
      <w:r w:rsidR="001D5996">
        <w:rPr>
          <w:rFonts w:ascii="BNPP Sans Light" w:hAnsi="BNPP Sans Light"/>
          <w:szCs w:val="24"/>
          <w:lang w:val="cs-CZ"/>
        </w:rPr>
        <w:t xml:space="preserve">ahující </w:t>
      </w:r>
      <w:r w:rsidR="00EF0379" w:rsidRPr="00753780">
        <w:rPr>
          <w:rFonts w:ascii="BNPP Sans Light" w:hAnsi="BNPP Sans Light"/>
          <w:szCs w:val="24"/>
          <w:lang w:val="cs-CZ"/>
        </w:rPr>
        <w:t xml:space="preserve">750 000 Kč, a zároveň byla inflace po dobu jednoho roku před vznikem </w:t>
      </w:r>
      <w:r w:rsidR="00470958" w:rsidRPr="00753780">
        <w:rPr>
          <w:rFonts w:ascii="BNPP Sans Light" w:hAnsi="BNPP Sans Light"/>
          <w:szCs w:val="24"/>
          <w:lang w:val="cs-CZ"/>
        </w:rPr>
        <w:t xml:space="preserve">této </w:t>
      </w:r>
      <w:r w:rsidR="00EF0379" w:rsidRPr="00753780">
        <w:rPr>
          <w:rFonts w:ascii="BNPP Sans Light" w:hAnsi="BNPP Sans Light"/>
          <w:szCs w:val="24"/>
          <w:lang w:val="cs-CZ"/>
        </w:rPr>
        <w:t xml:space="preserve">události rovna 10 </w:t>
      </w:r>
      <w:r w:rsidR="00031287">
        <w:rPr>
          <w:rFonts w:ascii="BNPP Sans Light" w:hAnsi="BNPP Sans Light"/>
          <w:szCs w:val="24"/>
          <w:lang w:val="cs-CZ"/>
        </w:rPr>
        <w:t>%</w:t>
      </w:r>
      <w:r w:rsidR="001D5996" w:rsidRPr="001D5996">
        <w:rPr>
          <w:rFonts w:ascii="BNPP Sans Light" w:hAnsi="BNPP Sans Light"/>
          <w:szCs w:val="24"/>
          <w:lang w:val="cs-CZ"/>
        </w:rPr>
        <w:t xml:space="preserve"> </w:t>
      </w:r>
      <w:r w:rsidR="001D5996">
        <w:rPr>
          <w:rFonts w:ascii="BNPP Sans Light" w:hAnsi="BNPP Sans Light"/>
          <w:szCs w:val="24"/>
          <w:lang w:val="cs-CZ"/>
        </w:rPr>
        <w:t>nebo vyšší</w:t>
      </w:r>
      <w:r w:rsidR="00EF0379" w:rsidRPr="00753780">
        <w:rPr>
          <w:rFonts w:ascii="BNPP Sans Light" w:hAnsi="BNPP Sans Light"/>
          <w:szCs w:val="24"/>
          <w:lang w:val="cs-CZ"/>
        </w:rPr>
        <w:t xml:space="preserve">, pak </w:t>
      </w:r>
      <w:r w:rsidR="00324854">
        <w:rPr>
          <w:rFonts w:ascii="BNPP Sans Light" w:hAnsi="BNPP Sans Light"/>
          <w:szCs w:val="24"/>
          <w:lang w:val="cs-CZ"/>
        </w:rPr>
        <w:t xml:space="preserve">pojišťovna </w:t>
      </w:r>
      <w:r w:rsidR="00EF0379" w:rsidRPr="00753780">
        <w:rPr>
          <w:rFonts w:ascii="BNPP Sans Light" w:hAnsi="BNPP Sans Light"/>
          <w:szCs w:val="24"/>
          <w:lang w:val="cs-CZ"/>
        </w:rPr>
        <w:t xml:space="preserve">stanovený limit pojistného plnění i jednotlivé </w:t>
      </w:r>
      <w:proofErr w:type="spellStart"/>
      <w:r w:rsidR="00EF0379" w:rsidRPr="00753780">
        <w:rPr>
          <w:rFonts w:ascii="BNPP Sans Light" w:hAnsi="BNPP Sans Light"/>
          <w:szCs w:val="24"/>
          <w:lang w:val="cs-CZ"/>
        </w:rPr>
        <w:t>sublimity</w:t>
      </w:r>
      <w:proofErr w:type="spellEnd"/>
      <w:r w:rsidR="00EF0379" w:rsidRPr="00753780">
        <w:rPr>
          <w:rFonts w:ascii="BNPP Sans Light" w:hAnsi="BNPP Sans Light"/>
          <w:szCs w:val="24"/>
          <w:lang w:val="cs-CZ"/>
        </w:rPr>
        <w:t xml:space="preserve"> navýší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EF0379" w:rsidRPr="00753780">
        <w:rPr>
          <w:rFonts w:ascii="BNPP Sans Light" w:hAnsi="BNPP Sans Light"/>
          <w:szCs w:val="24"/>
          <w:lang w:val="cs-CZ"/>
        </w:rPr>
        <w:t>o 10</w:t>
      </w:r>
      <w:r w:rsidR="00031287">
        <w:rPr>
          <w:rFonts w:ascii="Calibri" w:hAnsi="Calibri" w:cs="Calibri"/>
          <w:szCs w:val="24"/>
          <w:lang w:val="cs-CZ"/>
        </w:rPr>
        <w:t> %</w:t>
      </w:r>
      <w:r w:rsidRPr="00753780">
        <w:rPr>
          <w:rFonts w:ascii="BNPP Sans Light" w:hAnsi="BNPP Sans Light"/>
          <w:szCs w:val="24"/>
          <w:lang w:val="cs-CZ"/>
        </w:rPr>
        <w:t>.</w:t>
      </w:r>
    </w:p>
    <w:p w14:paraId="04A5D0EF" w14:textId="77777777" w:rsidR="00753780" w:rsidRPr="00753780" w:rsidRDefault="00753780" w:rsidP="008E316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4AF89F8" w14:textId="77777777" w:rsidR="00D27AAF" w:rsidRDefault="00D27AAF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</w:p>
    <w:p w14:paraId="5C124C7B" w14:textId="0D4CDB25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6019D333" w14:textId="2A6F63A7" w:rsidR="001C4CE1" w:rsidRPr="008B52BF" w:rsidRDefault="007867E2" w:rsidP="001C4CE1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C26487">
        <w:rPr>
          <w:rFonts w:ascii="BNPP Sans Light" w:hAnsi="BNPP Sans Light"/>
          <w:szCs w:val="24"/>
          <w:lang w:val="cs-CZ"/>
        </w:rPr>
        <w:t>8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>, 100% vlastník BNP</w:t>
      </w:r>
      <w:r w:rsidR="00031287">
        <w:rPr>
          <w:rFonts w:ascii="Calibri" w:hAnsi="Calibri" w:cs="Calibri"/>
          <w:szCs w:val="24"/>
          <w:lang w:val="cs-CZ"/>
        </w:rPr>
        <w:t> </w:t>
      </w:r>
      <w:r w:rsidR="00E078B8" w:rsidRPr="008B52BF">
        <w:rPr>
          <w:rFonts w:ascii="BNPP Sans Light" w:hAnsi="BNPP Sans Light"/>
          <w:szCs w:val="24"/>
          <w:lang w:val="cs-CZ"/>
        </w:rPr>
        <w:t xml:space="preserve">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="001C4CE1" w:rsidRPr="00C94A55">
        <w:rPr>
          <w:rFonts w:ascii="BNPP Sans Light" w:hAnsi="BNPP Sans Light"/>
          <w:szCs w:val="24"/>
          <w:lang w:val="cs-CZ"/>
        </w:rPr>
        <w:t xml:space="preserve">V soutěži </w:t>
      </w:r>
      <w:proofErr w:type="spellStart"/>
      <w:r w:rsidR="001C4CE1" w:rsidRPr="00C94A55">
        <w:rPr>
          <w:rFonts w:ascii="BNPP Sans Light" w:hAnsi="BNPP Sans Light"/>
          <w:szCs w:val="24"/>
          <w:lang w:val="cs-CZ"/>
        </w:rPr>
        <w:t>Finparáda</w:t>
      </w:r>
      <w:proofErr w:type="spellEnd"/>
      <w:r w:rsidR="001C4CE1" w:rsidRPr="00C94A55">
        <w:rPr>
          <w:rFonts w:ascii="BNPP Sans Light" w:hAnsi="BNPP Sans Light"/>
          <w:szCs w:val="24"/>
          <w:lang w:val="cs-CZ"/>
        </w:rPr>
        <w:t xml:space="preserve"> – Finanční produkt roku 2023 obsadila </w:t>
      </w:r>
      <w:r w:rsidR="001C4CE1">
        <w:rPr>
          <w:rFonts w:ascii="BNPP Sans Light" w:hAnsi="BNPP Sans Light"/>
          <w:szCs w:val="24"/>
          <w:lang w:val="cs-CZ"/>
        </w:rPr>
        <w:t>v</w:t>
      </w:r>
      <w:r w:rsidR="00031287">
        <w:rPr>
          <w:rFonts w:ascii="Calibri" w:hAnsi="Calibri" w:cs="Calibri"/>
          <w:szCs w:val="24"/>
          <w:lang w:val="cs-CZ"/>
        </w:rPr>
        <w:t> </w:t>
      </w:r>
      <w:r w:rsidR="001C4CE1" w:rsidRPr="00C94A55">
        <w:rPr>
          <w:rFonts w:ascii="BNPP Sans Light" w:hAnsi="BNPP Sans Light"/>
          <w:szCs w:val="24"/>
          <w:lang w:val="cs-CZ"/>
        </w:rPr>
        <w:t>kategorii Pojištění schopnosti splácet spotřebitelský úvěr první dvě příčky a již popáté v řadě tak obhájila prvenství.</w:t>
      </w:r>
      <w:r w:rsidR="001C4CE1">
        <w:rPr>
          <w:rFonts w:ascii="BNPP Sans Light" w:hAnsi="BNPP Sans Light"/>
          <w:szCs w:val="24"/>
          <w:lang w:val="cs-CZ"/>
        </w:rPr>
        <w:t xml:space="preserve"> Bodovala i v kategorii</w:t>
      </w:r>
      <w:r w:rsidR="001C4CE1"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 w:rsidR="001C4CE1">
        <w:rPr>
          <w:rFonts w:ascii="BNPP Sans Light" w:hAnsi="BNPP Sans Light"/>
          <w:szCs w:val="24"/>
          <w:lang w:val="cs-CZ"/>
        </w:rPr>
        <w:t>, kde</w:t>
      </w:r>
      <w:r w:rsidR="001C4CE1" w:rsidRPr="00C94A55">
        <w:rPr>
          <w:rFonts w:ascii="BNPP Sans Light" w:hAnsi="BNPP Sans Light"/>
          <w:szCs w:val="24"/>
          <w:lang w:val="cs-CZ"/>
        </w:rPr>
        <w:t xml:space="preserve"> obsadila druhé a</w:t>
      </w:r>
      <w:r w:rsidR="00031287">
        <w:rPr>
          <w:rFonts w:ascii="Calibri" w:hAnsi="Calibri" w:cs="Calibri"/>
          <w:szCs w:val="24"/>
          <w:lang w:val="cs-CZ"/>
        </w:rPr>
        <w:t> </w:t>
      </w:r>
      <w:r w:rsidR="001C4CE1" w:rsidRPr="00C94A55">
        <w:rPr>
          <w:rFonts w:ascii="BNPP Sans Light" w:hAnsi="BNPP Sans Light"/>
          <w:szCs w:val="24"/>
          <w:lang w:val="cs-CZ"/>
        </w:rPr>
        <w:t>třetí místo.</w:t>
      </w:r>
      <w:r w:rsidR="001C4CE1">
        <w:rPr>
          <w:rFonts w:ascii="BNPP Sans Light" w:hAnsi="BNPP Sans Light"/>
          <w:szCs w:val="24"/>
          <w:lang w:val="cs-CZ"/>
        </w:rPr>
        <w:t xml:space="preserve"> </w:t>
      </w:r>
      <w:r w:rsidR="001C4CE1" w:rsidRPr="00C94A55">
        <w:rPr>
          <w:rFonts w:ascii="BNPP Sans Light" w:hAnsi="BNPP Sans Light"/>
          <w:szCs w:val="24"/>
          <w:lang w:val="cs-CZ"/>
        </w:rPr>
        <w:t xml:space="preserve">V roce 2023 se BNP Paribas </w:t>
      </w:r>
      <w:proofErr w:type="spellStart"/>
      <w:r w:rsidR="001C4CE1" w:rsidRPr="00C94A55">
        <w:rPr>
          <w:rFonts w:ascii="BNPP Sans Light" w:hAnsi="BNPP Sans Light"/>
          <w:szCs w:val="24"/>
          <w:lang w:val="cs-CZ"/>
        </w:rPr>
        <w:t>Cardif</w:t>
      </w:r>
      <w:proofErr w:type="spellEnd"/>
      <w:r w:rsidR="001C4CE1" w:rsidRPr="00C94A55">
        <w:rPr>
          <w:rFonts w:ascii="BNPP Sans Light" w:hAnsi="BNPP Sans Light"/>
          <w:szCs w:val="24"/>
          <w:lang w:val="cs-CZ"/>
        </w:rPr>
        <w:t xml:space="preserve"> Pojišťovna</w:t>
      </w:r>
      <w:r w:rsidR="001C4CE1"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="001C4CE1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1C4CE1">
        <w:rPr>
          <w:rFonts w:ascii="BNPP Sans Light" w:hAnsi="BNPP Sans Light"/>
          <w:szCs w:val="24"/>
          <w:lang w:val="cs-CZ"/>
        </w:rPr>
        <w:t>B</w:t>
      </w:r>
      <w:r w:rsidR="001C4CE1" w:rsidRPr="0043277B">
        <w:rPr>
          <w:rFonts w:ascii="BNPP Sans Light" w:hAnsi="BNPP Sans Light"/>
          <w:szCs w:val="24"/>
          <w:lang w:val="cs-CZ"/>
        </w:rPr>
        <w:t>anka rok</w:t>
      </w:r>
      <w:r w:rsidR="001C4CE1"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 w:rsidR="001C4CE1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1C4CE1">
        <w:rPr>
          <w:rFonts w:ascii="BNPP Sans Light" w:hAnsi="BNPP Sans Light"/>
          <w:szCs w:val="24"/>
          <w:lang w:val="cs-CZ"/>
        </w:rPr>
        <w:t xml:space="preserve">. </w:t>
      </w:r>
    </w:p>
    <w:p w14:paraId="59C8273D" w14:textId="77777777" w:rsidR="001C4CE1" w:rsidRPr="008B52BF" w:rsidRDefault="001C4CE1" w:rsidP="001C4CE1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897C9CC" w14:textId="6E963596" w:rsidR="008B618A" w:rsidRPr="008B52BF" w:rsidRDefault="008B618A" w:rsidP="001C4CE1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89F5" w14:textId="77777777" w:rsidR="00061235" w:rsidRDefault="00061235" w:rsidP="008C4C01">
      <w:r>
        <w:separator/>
      </w:r>
    </w:p>
  </w:endnote>
  <w:endnote w:type="continuationSeparator" w:id="0">
    <w:p w14:paraId="3FE704BA" w14:textId="77777777" w:rsidR="00061235" w:rsidRDefault="00061235" w:rsidP="008C4C01">
      <w:r>
        <w:continuationSeparator/>
      </w:r>
    </w:p>
  </w:endnote>
  <w:endnote w:type="continuationNotice" w:id="1">
    <w:p w14:paraId="38D6BC49" w14:textId="77777777" w:rsidR="00061235" w:rsidRDefault="000612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F915" w14:textId="71C420AE" w:rsidR="005B45B7" w:rsidRDefault="001672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269E49" wp14:editId="67D8C5F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ové pole 4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D9D61" w14:textId="667B8062" w:rsidR="001672D8" w:rsidRPr="001672D8" w:rsidRDefault="001672D8" w:rsidP="00167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  <w:r w:rsidRPr="001672D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69E4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Classification : Internal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73AD9D61" w14:textId="667B8062" w:rsidR="001672D8" w:rsidRPr="001672D8" w:rsidRDefault="001672D8" w:rsidP="001672D8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  <w:r w:rsidRPr="001672D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528BA3F3" w:rsidR="00161CB7" w:rsidRDefault="001672D8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21D8B14" wp14:editId="30B78867">
              <wp:simplePos x="539750" y="96393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ové pole 5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9CACF" w14:textId="15869C97" w:rsidR="001672D8" w:rsidRPr="001672D8" w:rsidRDefault="001672D8" w:rsidP="00167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D8B1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Classification : Internal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5799CACF" w14:textId="15869C97" w:rsidR="001672D8" w:rsidRPr="001672D8" w:rsidRDefault="001672D8" w:rsidP="001672D8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45B7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2D5A7370">
          <wp:simplePos x="0" y="0"/>
          <wp:positionH relativeFrom="margin">
            <wp:posOffset>4974590</wp:posOffset>
          </wp:positionH>
          <wp:positionV relativeFrom="margin">
            <wp:posOffset>9108440</wp:posOffset>
          </wp:positionV>
          <wp:extent cx="1639570" cy="7391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92"/>
                  <a:stretch/>
                </pic:blipFill>
                <pic:spPr bwMode="auto">
                  <a:xfrm>
                    <a:off x="0" y="0"/>
                    <a:ext cx="163957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404DF03A">
          <wp:simplePos x="0" y="0"/>
          <wp:positionH relativeFrom="margin">
            <wp:posOffset>-26035</wp:posOffset>
          </wp:positionH>
          <wp:positionV relativeFrom="margin">
            <wp:posOffset>9060815</wp:posOffset>
          </wp:positionV>
          <wp:extent cx="2709545" cy="8655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t="13275" r="37135" b="-22929"/>
                  <a:stretch/>
                </pic:blipFill>
                <pic:spPr bwMode="auto">
                  <a:xfrm>
                    <a:off x="0" y="0"/>
                    <a:ext cx="270954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8795" w14:textId="105A4AF0" w:rsidR="005B45B7" w:rsidRDefault="001672D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2F98D69" wp14:editId="632283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ové pole 3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AECF3" w14:textId="0230F555" w:rsidR="001672D8" w:rsidRPr="001672D8" w:rsidRDefault="001672D8" w:rsidP="001672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  <w:r w:rsidRPr="001672D8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98D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Classification : Internal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40AECF3" w14:textId="0230F555" w:rsidR="001672D8" w:rsidRPr="001672D8" w:rsidRDefault="001672D8" w:rsidP="001672D8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  <w:r w:rsidRPr="001672D8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71CAF" w14:textId="77777777" w:rsidR="00061235" w:rsidRDefault="00061235" w:rsidP="008C4C01">
      <w:r>
        <w:separator/>
      </w:r>
    </w:p>
  </w:footnote>
  <w:footnote w:type="continuationSeparator" w:id="0">
    <w:p w14:paraId="02FCE6E8" w14:textId="77777777" w:rsidR="00061235" w:rsidRDefault="00061235" w:rsidP="008C4C01">
      <w:r>
        <w:continuationSeparator/>
      </w:r>
    </w:p>
  </w:footnote>
  <w:footnote w:type="continuationNotice" w:id="1">
    <w:p w14:paraId="2D4BADDA" w14:textId="77777777" w:rsidR="00061235" w:rsidRDefault="0006123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31287"/>
    <w:rsid w:val="0003160E"/>
    <w:rsid w:val="00061235"/>
    <w:rsid w:val="0006620F"/>
    <w:rsid w:val="000A212B"/>
    <w:rsid w:val="000E0214"/>
    <w:rsid w:val="001042AB"/>
    <w:rsid w:val="00112E16"/>
    <w:rsid w:val="00155F5A"/>
    <w:rsid w:val="00161CB7"/>
    <w:rsid w:val="001672D8"/>
    <w:rsid w:val="00171B10"/>
    <w:rsid w:val="001A49F9"/>
    <w:rsid w:val="001B046D"/>
    <w:rsid w:val="001C4CE1"/>
    <w:rsid w:val="001D5996"/>
    <w:rsid w:val="00203213"/>
    <w:rsid w:val="00204084"/>
    <w:rsid w:val="002052A9"/>
    <w:rsid w:val="00211B23"/>
    <w:rsid w:val="00211C57"/>
    <w:rsid w:val="00214AE2"/>
    <w:rsid w:val="00225E4C"/>
    <w:rsid w:val="00240F4F"/>
    <w:rsid w:val="002413BB"/>
    <w:rsid w:val="00250C49"/>
    <w:rsid w:val="002661A2"/>
    <w:rsid w:val="002858D5"/>
    <w:rsid w:val="002A4764"/>
    <w:rsid w:val="002B125B"/>
    <w:rsid w:val="002C15E8"/>
    <w:rsid w:val="002D2875"/>
    <w:rsid w:val="002D3230"/>
    <w:rsid w:val="002D5A2C"/>
    <w:rsid w:val="00300F60"/>
    <w:rsid w:val="003041A4"/>
    <w:rsid w:val="003137F0"/>
    <w:rsid w:val="00324854"/>
    <w:rsid w:val="00336245"/>
    <w:rsid w:val="00346635"/>
    <w:rsid w:val="00350511"/>
    <w:rsid w:val="00351647"/>
    <w:rsid w:val="003A1ACF"/>
    <w:rsid w:val="003D0EE0"/>
    <w:rsid w:val="003D4909"/>
    <w:rsid w:val="003F1679"/>
    <w:rsid w:val="003F3C01"/>
    <w:rsid w:val="0042340B"/>
    <w:rsid w:val="00431CA9"/>
    <w:rsid w:val="0043277B"/>
    <w:rsid w:val="00440814"/>
    <w:rsid w:val="00441A99"/>
    <w:rsid w:val="00447A22"/>
    <w:rsid w:val="00460D98"/>
    <w:rsid w:val="00465E95"/>
    <w:rsid w:val="00470958"/>
    <w:rsid w:val="004A34D3"/>
    <w:rsid w:val="004A3793"/>
    <w:rsid w:val="004D0A46"/>
    <w:rsid w:val="00506C33"/>
    <w:rsid w:val="005325C1"/>
    <w:rsid w:val="0054496D"/>
    <w:rsid w:val="00561D14"/>
    <w:rsid w:val="00564A9A"/>
    <w:rsid w:val="00574AE9"/>
    <w:rsid w:val="005B45B7"/>
    <w:rsid w:val="005B58E2"/>
    <w:rsid w:val="005F0B80"/>
    <w:rsid w:val="00610168"/>
    <w:rsid w:val="00661578"/>
    <w:rsid w:val="006805D3"/>
    <w:rsid w:val="00686D90"/>
    <w:rsid w:val="00697AA7"/>
    <w:rsid w:val="006A422C"/>
    <w:rsid w:val="00704592"/>
    <w:rsid w:val="00710021"/>
    <w:rsid w:val="00715B37"/>
    <w:rsid w:val="00727DD9"/>
    <w:rsid w:val="00734B99"/>
    <w:rsid w:val="00734DF7"/>
    <w:rsid w:val="00753780"/>
    <w:rsid w:val="00760C27"/>
    <w:rsid w:val="00766BA3"/>
    <w:rsid w:val="00773D11"/>
    <w:rsid w:val="007867E2"/>
    <w:rsid w:val="007A066E"/>
    <w:rsid w:val="007A0DA2"/>
    <w:rsid w:val="007B0A3F"/>
    <w:rsid w:val="007B788F"/>
    <w:rsid w:val="007C2893"/>
    <w:rsid w:val="007D3409"/>
    <w:rsid w:val="007F155B"/>
    <w:rsid w:val="00811824"/>
    <w:rsid w:val="00812485"/>
    <w:rsid w:val="008136DF"/>
    <w:rsid w:val="00827F92"/>
    <w:rsid w:val="008306ED"/>
    <w:rsid w:val="00831B93"/>
    <w:rsid w:val="00842208"/>
    <w:rsid w:val="00860090"/>
    <w:rsid w:val="00862504"/>
    <w:rsid w:val="00867F3C"/>
    <w:rsid w:val="00875D09"/>
    <w:rsid w:val="008B52BF"/>
    <w:rsid w:val="008B618A"/>
    <w:rsid w:val="008C4C01"/>
    <w:rsid w:val="008D39B3"/>
    <w:rsid w:val="008D3F63"/>
    <w:rsid w:val="008E217A"/>
    <w:rsid w:val="008E3169"/>
    <w:rsid w:val="008F61B4"/>
    <w:rsid w:val="0092020F"/>
    <w:rsid w:val="00921B90"/>
    <w:rsid w:val="0092697D"/>
    <w:rsid w:val="00954F97"/>
    <w:rsid w:val="00962CB6"/>
    <w:rsid w:val="00963F72"/>
    <w:rsid w:val="00991878"/>
    <w:rsid w:val="009A6442"/>
    <w:rsid w:val="009B1AA9"/>
    <w:rsid w:val="009C34C1"/>
    <w:rsid w:val="00A0047F"/>
    <w:rsid w:val="00A1012B"/>
    <w:rsid w:val="00A120AF"/>
    <w:rsid w:val="00A34D05"/>
    <w:rsid w:val="00A375BB"/>
    <w:rsid w:val="00A42C20"/>
    <w:rsid w:val="00A76752"/>
    <w:rsid w:val="00A96EFB"/>
    <w:rsid w:val="00AA7B55"/>
    <w:rsid w:val="00AC2DFB"/>
    <w:rsid w:val="00AC562D"/>
    <w:rsid w:val="00AE0B92"/>
    <w:rsid w:val="00AF7D78"/>
    <w:rsid w:val="00B10408"/>
    <w:rsid w:val="00B10A01"/>
    <w:rsid w:val="00B138C5"/>
    <w:rsid w:val="00B202A9"/>
    <w:rsid w:val="00B73581"/>
    <w:rsid w:val="00B9187F"/>
    <w:rsid w:val="00B93E13"/>
    <w:rsid w:val="00B944DF"/>
    <w:rsid w:val="00BA12F4"/>
    <w:rsid w:val="00BB5946"/>
    <w:rsid w:val="00BC23A3"/>
    <w:rsid w:val="00BC4277"/>
    <w:rsid w:val="00BD3082"/>
    <w:rsid w:val="00BD7BAA"/>
    <w:rsid w:val="00C05FBD"/>
    <w:rsid w:val="00C26487"/>
    <w:rsid w:val="00C30903"/>
    <w:rsid w:val="00C47EE2"/>
    <w:rsid w:val="00C96213"/>
    <w:rsid w:val="00CC58B5"/>
    <w:rsid w:val="00CF3D3D"/>
    <w:rsid w:val="00CF5C70"/>
    <w:rsid w:val="00D061B6"/>
    <w:rsid w:val="00D065B0"/>
    <w:rsid w:val="00D2112C"/>
    <w:rsid w:val="00D217A2"/>
    <w:rsid w:val="00D229F1"/>
    <w:rsid w:val="00D22A64"/>
    <w:rsid w:val="00D27AAF"/>
    <w:rsid w:val="00D346B8"/>
    <w:rsid w:val="00D36B8D"/>
    <w:rsid w:val="00D54116"/>
    <w:rsid w:val="00D6786C"/>
    <w:rsid w:val="00D84A3C"/>
    <w:rsid w:val="00DA34CB"/>
    <w:rsid w:val="00DC2DE9"/>
    <w:rsid w:val="00DC5D61"/>
    <w:rsid w:val="00DD011A"/>
    <w:rsid w:val="00DD3B26"/>
    <w:rsid w:val="00DE5F55"/>
    <w:rsid w:val="00DE689D"/>
    <w:rsid w:val="00E078B8"/>
    <w:rsid w:val="00E33C9F"/>
    <w:rsid w:val="00E37B92"/>
    <w:rsid w:val="00E60DBD"/>
    <w:rsid w:val="00E64F06"/>
    <w:rsid w:val="00E67D9C"/>
    <w:rsid w:val="00E839E8"/>
    <w:rsid w:val="00E903AB"/>
    <w:rsid w:val="00E90872"/>
    <w:rsid w:val="00E91F87"/>
    <w:rsid w:val="00E93B8D"/>
    <w:rsid w:val="00EF0379"/>
    <w:rsid w:val="00EF2279"/>
    <w:rsid w:val="00EF780F"/>
    <w:rsid w:val="00F4010C"/>
    <w:rsid w:val="00F61CB9"/>
    <w:rsid w:val="00F7088B"/>
    <w:rsid w:val="00F73B40"/>
    <w:rsid w:val="00F77C35"/>
    <w:rsid w:val="00F91D9C"/>
    <w:rsid w:val="00F938F2"/>
    <w:rsid w:val="00FA433A"/>
    <w:rsid w:val="00FB05F9"/>
    <w:rsid w:val="00FC2FF7"/>
    <w:rsid w:val="00FC4F54"/>
    <w:rsid w:val="00FC7903"/>
    <w:rsid w:val="00FD2BBD"/>
    <w:rsid w:val="00FE47F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9C34C1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3968</Characters>
  <Application>Microsoft Office Word</Application>
  <DocSecurity>0</DocSecurity>
  <Lines>86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3</cp:revision>
  <cp:lastPrinted>2015-06-02T15:55:00Z</cp:lastPrinted>
  <dcterms:created xsi:type="dcterms:W3CDTF">2024-11-13T15:03:00Z</dcterms:created>
  <dcterms:modified xsi:type="dcterms:W3CDTF">2024-11-14T07:52:00Z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#0078d7,10,Calibri</vt:lpwstr>
  </property>
  <property fmtid="{D5CDD505-2E9C-101B-9397-08002B2CF9AE}" pid="5" name="ClassificationContentMarkingFooterText">
    <vt:lpwstr>Classification : Internal</vt:lpwstr>
  </property>
  <property fmtid="{D5CDD505-2E9C-101B-9397-08002B2CF9AE}" pid="6" name="MSIP_Label_8ffbc0b8-e97b-47d1-beac-cb0955d66f3b_Enabled">
    <vt:lpwstr>true</vt:lpwstr>
  </property>
  <property fmtid="{D5CDD505-2E9C-101B-9397-08002B2CF9AE}" pid="7" name="MSIP_Label_8ffbc0b8-e97b-47d1-beac-cb0955d66f3b_SetDate">
    <vt:lpwstr>2024-10-23T11:44:28Z</vt:lpwstr>
  </property>
  <property fmtid="{D5CDD505-2E9C-101B-9397-08002B2CF9AE}" pid="8" name="MSIP_Label_8ffbc0b8-e97b-47d1-beac-cb0955d66f3b_Method">
    <vt:lpwstr>Privileged</vt:lpwstr>
  </property>
  <property fmtid="{D5CDD505-2E9C-101B-9397-08002B2CF9AE}" pid="9" name="MSIP_Label_8ffbc0b8-e97b-47d1-beac-cb0955d66f3b_Name">
    <vt:lpwstr>8ffbc0b8-e97b-47d1-beac-cb0955d66f3b</vt:lpwstr>
  </property>
  <property fmtid="{D5CDD505-2E9C-101B-9397-08002B2CF9AE}" pid="10" name="MSIP_Label_8ffbc0b8-e97b-47d1-beac-cb0955d66f3b_SiteId">
    <vt:lpwstr>614f9c25-bffa-42c7-86d8-964101f55fa2</vt:lpwstr>
  </property>
  <property fmtid="{D5CDD505-2E9C-101B-9397-08002B2CF9AE}" pid="11" name="MSIP_Label_8ffbc0b8-e97b-47d1-beac-cb0955d66f3b_ActionId">
    <vt:lpwstr>94efc1b6-fc76-4a3a-96f1-c5acc756d341</vt:lpwstr>
  </property>
  <property fmtid="{D5CDD505-2E9C-101B-9397-08002B2CF9AE}" pid="12" name="MSIP_Label_8ffbc0b8-e97b-47d1-beac-cb0955d66f3b_ContentBits">
    <vt:lpwstr>2</vt:lpwstr>
  </property>
</Properties>
</file>